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7DF2" w14:textId="77777777" w:rsidR="00C12955" w:rsidRPr="00191935" w:rsidRDefault="00C12955" w:rsidP="00C12955">
      <w:pPr>
        <w:spacing w:line="276" w:lineRule="auto"/>
        <w:rPr>
          <w:rFonts w:cs="Arial"/>
          <w:b/>
          <w:sz w:val="26"/>
          <w:szCs w:val="26"/>
          <w:lang w:val="nb-NO"/>
        </w:rPr>
      </w:pPr>
      <w:r w:rsidRPr="00191935">
        <w:rPr>
          <w:rFonts w:cs="Arial"/>
          <w:b/>
          <w:sz w:val="26"/>
          <w:szCs w:val="26"/>
          <w:lang w:val="nb-NO"/>
        </w:rPr>
        <w:t>2. Rektoratsrapport (dele som lukket punkt)</w:t>
      </w:r>
    </w:p>
    <w:p w14:paraId="72017BA9" w14:textId="77777777" w:rsidR="00C12955" w:rsidRPr="00191935" w:rsidRDefault="00C12955" w:rsidP="00C12955">
      <w:pPr>
        <w:spacing w:line="276" w:lineRule="auto"/>
        <w:rPr>
          <w:rFonts w:cs="Arial"/>
          <w:lang w:val="nb-NO"/>
        </w:rPr>
      </w:pPr>
    </w:p>
    <w:p w14:paraId="3DF1FEED" w14:textId="77777777" w:rsidR="00C12955" w:rsidRPr="00191935" w:rsidRDefault="00C12955" w:rsidP="00C12955">
      <w:pPr>
        <w:spacing w:line="276" w:lineRule="auto"/>
        <w:rPr>
          <w:rFonts w:cs="Arial"/>
          <w:u w:val="single"/>
        </w:rPr>
      </w:pPr>
      <w:r w:rsidRPr="00191935">
        <w:rPr>
          <w:rFonts w:cs="Arial"/>
          <w:u w:val="single"/>
        </w:rPr>
        <w:t>Indstilling</w:t>
      </w:r>
    </w:p>
    <w:p w14:paraId="07CD9FBF" w14:textId="77777777" w:rsidR="00C12955" w:rsidRPr="00191935" w:rsidRDefault="00C12955" w:rsidP="00C12955">
      <w:pPr>
        <w:spacing w:line="276" w:lineRule="auto"/>
        <w:rPr>
          <w:rFonts w:cs="Arial"/>
        </w:rPr>
      </w:pPr>
      <w:r w:rsidRPr="00191935">
        <w:rPr>
          <w:rFonts w:cs="Arial"/>
        </w:rPr>
        <w:t>Det indstilles, at bestyrelsen tager rektoratsrapporten til efterretning.</w:t>
      </w:r>
    </w:p>
    <w:p w14:paraId="76760719" w14:textId="77777777" w:rsidR="00C12955" w:rsidRPr="00191935" w:rsidRDefault="00C12955" w:rsidP="00C12955">
      <w:pPr>
        <w:spacing w:line="276" w:lineRule="auto"/>
        <w:rPr>
          <w:rFonts w:cs="Arial"/>
        </w:rPr>
      </w:pPr>
    </w:p>
    <w:p w14:paraId="28FB4A70" w14:textId="77777777" w:rsidR="00C12955" w:rsidRPr="00191935" w:rsidRDefault="00C12955" w:rsidP="00C12955">
      <w:pPr>
        <w:spacing w:line="276" w:lineRule="auto"/>
        <w:rPr>
          <w:rFonts w:cs="Arial"/>
          <w:u w:val="single"/>
        </w:rPr>
      </w:pPr>
      <w:r w:rsidRPr="00191935">
        <w:rPr>
          <w:rFonts w:cs="Arial"/>
          <w:u w:val="single"/>
        </w:rPr>
        <w:t>Sagsfremstilling</w:t>
      </w:r>
    </w:p>
    <w:p w14:paraId="4B636402" w14:textId="77777777" w:rsidR="00C12955" w:rsidRPr="00191935" w:rsidRDefault="00C12955" w:rsidP="00C12955">
      <w:pPr>
        <w:spacing w:line="276" w:lineRule="auto"/>
        <w:rPr>
          <w:rFonts w:cs="Arial"/>
        </w:rPr>
      </w:pPr>
      <w:r w:rsidRPr="00191935">
        <w:rPr>
          <w:rFonts w:cs="Arial"/>
        </w:rPr>
        <w:t xml:space="preserve">Rektoratsrapporten redegør for væsentlige beslutninger og begivenheder, der har fundet sted siden sidste bestyrelsesmøde, og som er tæt forbundet med bestyrelsens kompetence. Rapporten anvendes også til at følge op på emner, bestyrelsen tidligere har drøftet. Rektoratsrapporten indeholder også en række skriftlige meddelelser, som udgør en broget mængde af informationer om universitetets status i forhold til aktiviteter som f.eks. hjemtag af store bevillinger og særlige begivenheder. </w:t>
      </w:r>
    </w:p>
    <w:sdt>
      <w:sdtPr>
        <w:rPr>
          <w:rFonts w:cs="Arial"/>
          <w:sz w:val="20"/>
        </w:rPr>
        <w:id w:val="-597326618"/>
        <w:docPartObj>
          <w:docPartGallery w:val="Table of Contents"/>
          <w:docPartUnique/>
        </w:docPartObj>
      </w:sdtPr>
      <w:sdtEndPr>
        <w:rPr>
          <w:b/>
          <w:bCs/>
        </w:rPr>
      </w:sdtEndPr>
      <w:sdtContent>
        <w:p w14:paraId="3F0078D8" w14:textId="77777777" w:rsidR="00C12955" w:rsidRPr="00191935" w:rsidRDefault="00C12955" w:rsidP="00C12955">
          <w:pPr>
            <w:pStyle w:val="TOCHeading"/>
            <w:spacing w:after="0" w:line="276" w:lineRule="auto"/>
            <w:rPr>
              <w:rFonts w:cs="Arial"/>
              <w:sz w:val="20"/>
            </w:rPr>
          </w:pPr>
        </w:p>
        <w:p w14:paraId="6A3078DB" w14:textId="782AF094" w:rsidR="00E75B15" w:rsidRDefault="00C12955">
          <w:pPr>
            <w:pStyle w:val="TOC2"/>
            <w:tabs>
              <w:tab w:val="right" w:leader="dot" w:pos="9394"/>
            </w:tabs>
            <w:rPr>
              <w:rFonts w:asciiTheme="minorHAnsi" w:eastAsiaTheme="minorEastAsia" w:hAnsiTheme="minorHAnsi" w:cstheme="minorBidi"/>
              <w:noProof/>
              <w:kern w:val="2"/>
              <w:sz w:val="24"/>
              <w:szCs w:val="24"/>
              <w:lang w:eastAsia="da-DK"/>
              <w14:ligatures w14:val="standardContextual"/>
            </w:rPr>
          </w:pPr>
          <w:r w:rsidRPr="00191935">
            <w:rPr>
              <w:rFonts w:cs="Arial"/>
              <w:b/>
              <w:bCs/>
            </w:rPr>
            <w:fldChar w:fldCharType="begin"/>
          </w:r>
          <w:r w:rsidRPr="00191935">
            <w:rPr>
              <w:rFonts w:cs="Arial"/>
              <w:b/>
              <w:bCs/>
            </w:rPr>
            <w:instrText xml:space="preserve"> TOC \o "1-3" \h \z \u </w:instrText>
          </w:r>
          <w:r w:rsidRPr="00191935">
            <w:rPr>
              <w:rFonts w:cs="Arial"/>
              <w:b/>
              <w:bCs/>
            </w:rPr>
            <w:fldChar w:fldCharType="separate"/>
          </w:r>
          <w:hyperlink w:anchor="_Toc198139399" w:history="1">
            <w:r w:rsidR="00E75B15" w:rsidRPr="00501739">
              <w:rPr>
                <w:rStyle w:val="Hyperlink"/>
                <w:noProof/>
              </w:rPr>
              <w:t>1. Status for diversitet på DTU (Diversitetsrapport)</w:t>
            </w:r>
            <w:r w:rsidR="00E75B15">
              <w:rPr>
                <w:noProof/>
                <w:webHidden/>
              </w:rPr>
              <w:tab/>
            </w:r>
            <w:r w:rsidR="00E75B15">
              <w:rPr>
                <w:noProof/>
                <w:webHidden/>
              </w:rPr>
              <w:fldChar w:fldCharType="begin"/>
            </w:r>
            <w:r w:rsidR="00E75B15">
              <w:rPr>
                <w:noProof/>
                <w:webHidden/>
              </w:rPr>
              <w:instrText xml:space="preserve"> PAGEREF _Toc198139399 \h </w:instrText>
            </w:r>
            <w:r w:rsidR="00E75B15">
              <w:rPr>
                <w:noProof/>
                <w:webHidden/>
              </w:rPr>
            </w:r>
            <w:r w:rsidR="00E75B15">
              <w:rPr>
                <w:noProof/>
                <w:webHidden/>
              </w:rPr>
              <w:fldChar w:fldCharType="separate"/>
            </w:r>
            <w:r w:rsidR="00E75B15">
              <w:rPr>
                <w:noProof/>
                <w:webHidden/>
              </w:rPr>
              <w:t>1</w:t>
            </w:r>
            <w:r w:rsidR="00E75B15">
              <w:rPr>
                <w:noProof/>
                <w:webHidden/>
              </w:rPr>
              <w:fldChar w:fldCharType="end"/>
            </w:r>
          </w:hyperlink>
        </w:p>
        <w:p w14:paraId="60995ED2" w14:textId="68970CFE" w:rsidR="00E75B15" w:rsidRDefault="00E75B15">
          <w:pPr>
            <w:pStyle w:val="TOC2"/>
            <w:tabs>
              <w:tab w:val="right" w:leader="dot" w:pos="9394"/>
            </w:tabs>
            <w:rPr>
              <w:rFonts w:asciiTheme="minorHAnsi" w:eastAsiaTheme="minorEastAsia" w:hAnsiTheme="minorHAnsi" w:cstheme="minorBidi"/>
              <w:noProof/>
              <w:kern w:val="2"/>
              <w:sz w:val="24"/>
              <w:szCs w:val="24"/>
              <w:lang w:eastAsia="da-DK"/>
              <w14:ligatures w14:val="standardContextual"/>
            </w:rPr>
          </w:pPr>
          <w:hyperlink w:anchor="_Toc198139400" w:history="1">
            <w:r w:rsidRPr="00501739">
              <w:rPr>
                <w:rStyle w:val="Hyperlink"/>
                <w:noProof/>
              </w:rPr>
              <w:t>2. Afrapportering på Europas bedste ingeniøruddannelse</w:t>
            </w:r>
            <w:r>
              <w:rPr>
                <w:noProof/>
                <w:webHidden/>
              </w:rPr>
              <w:tab/>
            </w:r>
            <w:r>
              <w:rPr>
                <w:noProof/>
                <w:webHidden/>
              </w:rPr>
              <w:fldChar w:fldCharType="begin"/>
            </w:r>
            <w:r>
              <w:rPr>
                <w:noProof/>
                <w:webHidden/>
              </w:rPr>
              <w:instrText xml:space="preserve"> PAGEREF _Toc198139400 \h </w:instrText>
            </w:r>
            <w:r>
              <w:rPr>
                <w:noProof/>
                <w:webHidden/>
              </w:rPr>
            </w:r>
            <w:r>
              <w:rPr>
                <w:noProof/>
                <w:webHidden/>
              </w:rPr>
              <w:fldChar w:fldCharType="separate"/>
            </w:r>
            <w:r>
              <w:rPr>
                <w:noProof/>
                <w:webHidden/>
              </w:rPr>
              <w:t>2</w:t>
            </w:r>
            <w:r>
              <w:rPr>
                <w:noProof/>
                <w:webHidden/>
              </w:rPr>
              <w:fldChar w:fldCharType="end"/>
            </w:r>
          </w:hyperlink>
        </w:p>
        <w:p w14:paraId="76D78264" w14:textId="3F11E8FF" w:rsidR="00E75B15" w:rsidRDefault="00E75B15">
          <w:pPr>
            <w:pStyle w:val="TOC2"/>
            <w:tabs>
              <w:tab w:val="right" w:leader="dot" w:pos="9394"/>
            </w:tabs>
            <w:rPr>
              <w:rFonts w:asciiTheme="minorHAnsi" w:eastAsiaTheme="minorEastAsia" w:hAnsiTheme="minorHAnsi" w:cstheme="minorBidi"/>
              <w:noProof/>
              <w:kern w:val="2"/>
              <w:sz w:val="24"/>
              <w:szCs w:val="24"/>
              <w:lang w:eastAsia="da-DK"/>
              <w14:ligatures w14:val="standardContextual"/>
            </w:rPr>
          </w:pPr>
          <w:hyperlink w:anchor="_Toc198139401" w:history="1">
            <w:r w:rsidRPr="00501739">
              <w:rPr>
                <w:rStyle w:val="Hyperlink"/>
                <w:noProof/>
                <w:lang w:val="nb-NO"/>
              </w:rPr>
              <w:t>3. Forskningsbaseret myndighedsbetjening (lukket punkt)</w:t>
            </w:r>
            <w:r>
              <w:rPr>
                <w:noProof/>
                <w:webHidden/>
              </w:rPr>
              <w:tab/>
            </w:r>
            <w:r>
              <w:rPr>
                <w:noProof/>
                <w:webHidden/>
              </w:rPr>
              <w:fldChar w:fldCharType="begin"/>
            </w:r>
            <w:r>
              <w:rPr>
                <w:noProof/>
                <w:webHidden/>
              </w:rPr>
              <w:instrText xml:space="preserve"> PAGEREF _Toc198139401 \h </w:instrText>
            </w:r>
            <w:r>
              <w:rPr>
                <w:noProof/>
                <w:webHidden/>
              </w:rPr>
            </w:r>
            <w:r>
              <w:rPr>
                <w:noProof/>
                <w:webHidden/>
              </w:rPr>
              <w:fldChar w:fldCharType="separate"/>
            </w:r>
            <w:r>
              <w:rPr>
                <w:noProof/>
                <w:webHidden/>
              </w:rPr>
              <w:t>2</w:t>
            </w:r>
            <w:r>
              <w:rPr>
                <w:noProof/>
                <w:webHidden/>
              </w:rPr>
              <w:fldChar w:fldCharType="end"/>
            </w:r>
          </w:hyperlink>
        </w:p>
        <w:p w14:paraId="44B229F1" w14:textId="17B9E955" w:rsidR="00E75B15" w:rsidRDefault="00E75B15">
          <w:pPr>
            <w:pStyle w:val="TOC2"/>
            <w:tabs>
              <w:tab w:val="right" w:leader="dot" w:pos="9394"/>
            </w:tabs>
            <w:rPr>
              <w:rFonts w:asciiTheme="minorHAnsi" w:eastAsiaTheme="minorEastAsia" w:hAnsiTheme="minorHAnsi" w:cstheme="minorBidi"/>
              <w:noProof/>
              <w:kern w:val="2"/>
              <w:sz w:val="24"/>
              <w:szCs w:val="24"/>
              <w:lang w:eastAsia="da-DK"/>
              <w14:ligatures w14:val="standardContextual"/>
            </w:rPr>
          </w:pPr>
          <w:hyperlink w:anchor="_Toc198139402" w:history="1">
            <w:r w:rsidRPr="00501739">
              <w:rPr>
                <w:rStyle w:val="Hyperlink"/>
                <w:noProof/>
                <w:lang w:val="nb-NO"/>
              </w:rPr>
              <w:t>4. Status vedr. Dana V (lukket punkt)</w:t>
            </w:r>
            <w:r>
              <w:rPr>
                <w:noProof/>
                <w:webHidden/>
              </w:rPr>
              <w:tab/>
            </w:r>
            <w:r>
              <w:rPr>
                <w:noProof/>
                <w:webHidden/>
              </w:rPr>
              <w:fldChar w:fldCharType="begin"/>
            </w:r>
            <w:r>
              <w:rPr>
                <w:noProof/>
                <w:webHidden/>
              </w:rPr>
              <w:instrText xml:space="preserve"> PAGEREF _Toc198139402 \h </w:instrText>
            </w:r>
            <w:r>
              <w:rPr>
                <w:noProof/>
                <w:webHidden/>
              </w:rPr>
            </w:r>
            <w:r>
              <w:rPr>
                <w:noProof/>
                <w:webHidden/>
              </w:rPr>
              <w:fldChar w:fldCharType="separate"/>
            </w:r>
            <w:r>
              <w:rPr>
                <w:noProof/>
                <w:webHidden/>
              </w:rPr>
              <w:t>3</w:t>
            </w:r>
            <w:r>
              <w:rPr>
                <w:noProof/>
                <w:webHidden/>
              </w:rPr>
              <w:fldChar w:fldCharType="end"/>
            </w:r>
          </w:hyperlink>
        </w:p>
        <w:p w14:paraId="01FFE6E2" w14:textId="026810A3" w:rsidR="00E75B15" w:rsidRDefault="00E75B15">
          <w:pPr>
            <w:pStyle w:val="TOC2"/>
            <w:tabs>
              <w:tab w:val="right" w:leader="dot" w:pos="9394"/>
            </w:tabs>
            <w:rPr>
              <w:rFonts w:asciiTheme="minorHAnsi" w:eastAsiaTheme="minorEastAsia" w:hAnsiTheme="minorHAnsi" w:cstheme="minorBidi"/>
              <w:noProof/>
              <w:kern w:val="2"/>
              <w:sz w:val="24"/>
              <w:szCs w:val="24"/>
              <w:lang w:eastAsia="da-DK"/>
              <w14:ligatures w14:val="standardContextual"/>
            </w:rPr>
          </w:pPr>
          <w:hyperlink w:anchor="_Toc198139403" w:history="1">
            <w:r w:rsidRPr="00501739">
              <w:rPr>
                <w:rStyle w:val="Hyperlink"/>
                <w:noProof/>
              </w:rPr>
              <w:t>5. Skriftlige meddelelser</w:t>
            </w:r>
            <w:r>
              <w:rPr>
                <w:noProof/>
                <w:webHidden/>
              </w:rPr>
              <w:tab/>
            </w:r>
            <w:r>
              <w:rPr>
                <w:noProof/>
                <w:webHidden/>
              </w:rPr>
              <w:fldChar w:fldCharType="begin"/>
            </w:r>
            <w:r>
              <w:rPr>
                <w:noProof/>
                <w:webHidden/>
              </w:rPr>
              <w:instrText xml:space="preserve"> PAGEREF _Toc198139403 \h </w:instrText>
            </w:r>
            <w:r>
              <w:rPr>
                <w:noProof/>
                <w:webHidden/>
              </w:rPr>
            </w:r>
            <w:r>
              <w:rPr>
                <w:noProof/>
                <w:webHidden/>
              </w:rPr>
              <w:fldChar w:fldCharType="separate"/>
            </w:r>
            <w:r>
              <w:rPr>
                <w:noProof/>
                <w:webHidden/>
              </w:rPr>
              <w:t>3</w:t>
            </w:r>
            <w:r>
              <w:rPr>
                <w:noProof/>
                <w:webHidden/>
              </w:rPr>
              <w:fldChar w:fldCharType="end"/>
            </w:r>
          </w:hyperlink>
        </w:p>
        <w:p w14:paraId="7B5BE68A" w14:textId="514927E5" w:rsidR="008E08F1" w:rsidRPr="00191935" w:rsidRDefault="00C12955" w:rsidP="00C12955">
          <w:pPr>
            <w:rPr>
              <w:rFonts w:cs="Arial"/>
              <w:b/>
              <w:bCs/>
            </w:rPr>
          </w:pPr>
          <w:r w:rsidRPr="00191935">
            <w:rPr>
              <w:rFonts w:cs="Arial"/>
              <w:b/>
              <w:bCs/>
            </w:rPr>
            <w:fldChar w:fldCharType="end"/>
          </w:r>
        </w:p>
      </w:sdtContent>
    </w:sdt>
    <w:p w14:paraId="0FA8343F" w14:textId="77777777" w:rsidR="00191935" w:rsidRPr="00E31E3D" w:rsidRDefault="00191935" w:rsidP="00191935">
      <w:pPr>
        <w:pStyle w:val="Heading2"/>
      </w:pPr>
      <w:bookmarkStart w:id="0" w:name="_Toc198139399"/>
      <w:r w:rsidRPr="00E11655">
        <w:rPr>
          <w:szCs w:val="20"/>
        </w:rPr>
        <w:t>1.</w:t>
      </w:r>
      <w:r w:rsidRPr="00E31E3D">
        <w:t xml:space="preserve"> Status for diversitet på DTU (Diversitetsrapport</w:t>
      </w:r>
      <w:r w:rsidR="00CB19D3">
        <w:t>)</w:t>
      </w:r>
      <w:bookmarkEnd w:id="0"/>
    </w:p>
    <w:p w14:paraId="14DE4B5C" w14:textId="0F7BBDB6" w:rsidR="003A7A9E" w:rsidRDefault="00B32002" w:rsidP="003A7A9E">
      <w:r w:rsidRPr="00B32002">
        <w:t xml:space="preserve">DTU's Diversitetsrapport (bilag 1) giver et dybdegående demografisk og lønmæssigt overblik over universitetets medarbejdere og studerende, med særlig vægt på alder, nationalitet og køn. Rapportens modeller og grafer giver en nuanceret forståelse af diversitets- og inklusionsmønstre på tværs af DTU. DTU </w:t>
      </w:r>
      <w:r w:rsidR="003A7A9E" w:rsidRPr="00B32002">
        <w:t>fokuserer</w:t>
      </w:r>
      <w:r w:rsidR="003A7A9E" w:rsidRPr="003A7A9E">
        <w:t xml:space="preserve"> på at skabe en kultur, hvor alle respekteres og behandles ligeværdigt. Rapporten offentliggøres også for at være </w:t>
      </w:r>
      <w:proofErr w:type="spellStart"/>
      <w:r w:rsidR="003A7A9E" w:rsidRPr="003A7A9E">
        <w:t>compliant</w:t>
      </w:r>
      <w:proofErr w:type="spellEnd"/>
      <w:r w:rsidR="003A7A9E" w:rsidRPr="003A7A9E">
        <w:t xml:space="preserve"> med Horizon Europe.</w:t>
      </w:r>
    </w:p>
    <w:p w14:paraId="10FF362F" w14:textId="77777777" w:rsidR="00B32002" w:rsidRPr="003A7A9E" w:rsidRDefault="00B32002" w:rsidP="003A7A9E"/>
    <w:p w14:paraId="2EFDBF1F" w14:textId="2B6A45E0" w:rsidR="003A7A9E" w:rsidRDefault="003A7A9E" w:rsidP="003A7A9E">
      <w:r w:rsidRPr="003A7A9E">
        <w:t xml:space="preserve">DTU vil agere ansvarligt og gå foran med det gode eksempel. Vi vil behandle alle mennesker lige og skabe et mangfoldigt og inkluderende universitet. Vi er ikke i mål endnu, men vi har sat mange </w:t>
      </w:r>
      <w:r w:rsidR="003A7DD7">
        <w:t xml:space="preserve">konkrete </w:t>
      </w:r>
      <w:r w:rsidRPr="003A7A9E">
        <w:t>initiativer i gang.</w:t>
      </w:r>
    </w:p>
    <w:p w14:paraId="6FD7DB54" w14:textId="77777777" w:rsidR="00B32002" w:rsidRPr="003A7A9E" w:rsidRDefault="00B32002" w:rsidP="003A7A9E"/>
    <w:p w14:paraId="4333ABC2" w14:textId="1263DE1E" w:rsidR="003A7A9E" w:rsidRDefault="003A7A9E" w:rsidP="003A7A9E">
      <w:r w:rsidRPr="003A7A9E">
        <w:t xml:space="preserve">Rapporten fokuserer på køn, alder og nationalitet. Den viser, at </w:t>
      </w:r>
      <w:r w:rsidR="00B32002">
        <w:t>DTU</w:t>
      </w:r>
      <w:r w:rsidRPr="003A7A9E">
        <w:t xml:space="preserve"> har 16 </w:t>
      </w:r>
      <w:r w:rsidR="00B32002">
        <w:t>pct.</w:t>
      </w:r>
      <w:r w:rsidRPr="003A7A9E">
        <w:t xml:space="preserve"> kvinder i professorgruppen, og </w:t>
      </w:r>
      <w:r w:rsidR="00B32002">
        <w:t xml:space="preserve">der er </w:t>
      </w:r>
      <w:r w:rsidRPr="003A7A9E">
        <w:t xml:space="preserve">stadig et stykke vej til målet om mindst 30 </w:t>
      </w:r>
      <w:r w:rsidR="001407CF">
        <w:t>pct.</w:t>
      </w:r>
      <w:r w:rsidRPr="003A7A9E">
        <w:t xml:space="preserve"> kvinder i professorstillinger. Udviklingen i kønsbalancen blandt DTU’s </w:t>
      </w:r>
      <w:proofErr w:type="spellStart"/>
      <w:r w:rsidRPr="003A7A9E">
        <w:t>ph.d.’er</w:t>
      </w:r>
      <w:proofErr w:type="spellEnd"/>
      <w:r w:rsidRPr="003A7A9E">
        <w:t xml:space="preserve">, forskere og ledere går langsomt, og målet om en kønsbalance på 35-40 </w:t>
      </w:r>
      <w:r w:rsidR="001407CF">
        <w:t>pct.</w:t>
      </w:r>
      <w:r w:rsidRPr="003A7A9E">
        <w:t xml:space="preserve"> blandt DTU’s ledere er endnu ikke nået.</w:t>
      </w:r>
      <w:r w:rsidR="001100DF">
        <w:t xml:space="preserve"> </w:t>
      </w:r>
      <w:r w:rsidRPr="003A7A9E">
        <w:t xml:space="preserve">Tallene viser, at DTU er et internationalt universitet med størst mangfoldighed i nationalitet blandt ph.d.-studerende, post docs og adjunkter, og lavest blandt teknisk- og administrativt personale. DTU er en attraktiv arbejdsplads for yngre internationale forskere. Målet er at fastholde andelen af internationale </w:t>
      </w:r>
      <w:r w:rsidR="003A7DD7">
        <w:t>forskere</w:t>
      </w:r>
      <w:r w:rsidR="003A7DD7" w:rsidRPr="003A7A9E">
        <w:t xml:space="preserve"> </w:t>
      </w:r>
      <w:r w:rsidRPr="003A7A9E">
        <w:t>og fortsat tiltrække globalt talent.</w:t>
      </w:r>
    </w:p>
    <w:p w14:paraId="6763AF97" w14:textId="77777777" w:rsidR="00B32002" w:rsidRPr="003A7A9E" w:rsidRDefault="00B32002" w:rsidP="003A7A9E"/>
    <w:p w14:paraId="30510FD0" w14:textId="1619C811" w:rsidR="003A7A9E" w:rsidRPr="003A7A9E" w:rsidRDefault="003A7A9E" w:rsidP="003A7A9E">
      <w:r w:rsidRPr="003A7A9E">
        <w:t>DTU har gjort tiltag for at nå</w:t>
      </w:r>
      <w:r w:rsidR="00B32002">
        <w:t xml:space="preserve"> universitetets</w:t>
      </w:r>
      <w:r w:rsidRPr="003A7A9E">
        <w:t xml:space="preserve"> diversitetsmål, bl.a. uddannelse i inkluderende ledelse, bias-bevidste rekrutteringer og ledelse af </w:t>
      </w:r>
      <w:proofErr w:type="spellStart"/>
      <w:r w:rsidRPr="003A7A9E">
        <w:t>neurodivergens</w:t>
      </w:r>
      <w:proofErr w:type="spellEnd"/>
      <w:r w:rsidRPr="003A7A9E">
        <w:t>.</w:t>
      </w:r>
    </w:p>
    <w:p w14:paraId="0D5ED851" w14:textId="77777777" w:rsidR="003A7A9E" w:rsidRDefault="003A7A9E" w:rsidP="00CB19D3"/>
    <w:p w14:paraId="4EE8F119" w14:textId="77777777" w:rsidR="003A7A9E" w:rsidRDefault="003A7A9E" w:rsidP="00CB19D3"/>
    <w:p w14:paraId="16259F44" w14:textId="77777777" w:rsidR="00191935" w:rsidRDefault="00191935" w:rsidP="00191935"/>
    <w:p w14:paraId="33CE2833" w14:textId="6233B350" w:rsidR="00D9291A" w:rsidRPr="005C7753" w:rsidRDefault="00191935" w:rsidP="005C7753">
      <w:pPr>
        <w:pStyle w:val="Heading2"/>
      </w:pPr>
      <w:bookmarkStart w:id="1" w:name="_Toc198139400"/>
      <w:r w:rsidRPr="00191935">
        <w:lastRenderedPageBreak/>
        <w:t xml:space="preserve">2. </w:t>
      </w:r>
      <w:r w:rsidR="005C7753">
        <w:t>Afrapportering på Europas bedste ingeniøruddannelse</w:t>
      </w:r>
      <w:bookmarkEnd w:id="1"/>
      <w:r w:rsidR="00D9291A" w:rsidRPr="00D9291A">
        <w:rPr>
          <w:rStyle w:val="Emphasis"/>
          <w:rFonts w:cs="Arial"/>
          <w:i w:val="0"/>
          <w:iCs w:val="0"/>
        </w:rPr>
        <w:t xml:space="preserve"> </w:t>
      </w:r>
    </w:p>
    <w:p w14:paraId="21578FA8" w14:textId="4C1AAC01" w:rsidR="00B055C0" w:rsidRPr="002D0F78" w:rsidRDefault="00B733B6" w:rsidP="00B055C0">
      <w:pPr>
        <w:spacing w:before="120"/>
        <w:rPr>
          <w:rFonts w:cs="Arial"/>
        </w:rPr>
      </w:pPr>
      <w:r>
        <w:rPr>
          <w:rFonts w:cs="Arial"/>
        </w:rPr>
        <w:t>”</w:t>
      </w:r>
      <w:r w:rsidR="00B055C0" w:rsidRPr="00B055C0">
        <w:rPr>
          <w:rFonts w:cs="Arial"/>
        </w:rPr>
        <w:t>Europas bedste ingeniøruddannelse</w:t>
      </w:r>
      <w:r>
        <w:rPr>
          <w:rFonts w:cs="Arial"/>
        </w:rPr>
        <w:t>”</w:t>
      </w:r>
      <w:r w:rsidR="00B055C0" w:rsidRPr="002D0F78">
        <w:rPr>
          <w:rFonts w:cs="Arial"/>
        </w:rPr>
        <w:t xml:space="preserve"> er et af de tre strategiske pejlemærker i DTU’s strategi 2020-2025. En arbejdsgruppe nedsat i DTU’s direktørkreds har </w:t>
      </w:r>
      <w:r w:rsidR="00B055C0">
        <w:rPr>
          <w:rFonts w:cs="Arial"/>
        </w:rPr>
        <w:t>efter</w:t>
      </w:r>
      <w:r w:rsidR="00B055C0" w:rsidRPr="002D0F78">
        <w:rPr>
          <w:rFonts w:cs="Arial"/>
        </w:rPr>
        <w:t xml:space="preserve"> bestyrelsens ønske kvalificeret beskrivelsen af: </w:t>
      </w:r>
    </w:p>
    <w:p w14:paraId="372EF407" w14:textId="77777777" w:rsidR="00B055C0" w:rsidRPr="006E7C72" w:rsidRDefault="00B055C0" w:rsidP="00B055C0">
      <w:pPr>
        <w:pStyle w:val="ListParagraph"/>
        <w:numPr>
          <w:ilvl w:val="0"/>
          <w:numId w:val="12"/>
        </w:numPr>
        <w:spacing w:before="120"/>
        <w:rPr>
          <w:rFonts w:cs="Arial"/>
        </w:rPr>
      </w:pPr>
      <w:r>
        <w:rPr>
          <w:rFonts w:cs="Arial"/>
        </w:rPr>
        <w:t>H</w:t>
      </w:r>
      <w:r w:rsidRPr="006E7C72">
        <w:rPr>
          <w:rFonts w:cs="Arial"/>
        </w:rPr>
        <w:t>vad DTU forstår ved Europas bedste ingeniøruddannelse</w:t>
      </w:r>
      <w:r>
        <w:rPr>
          <w:rFonts w:cs="Arial"/>
        </w:rPr>
        <w:t>?</w:t>
      </w:r>
    </w:p>
    <w:p w14:paraId="1F547BC6" w14:textId="77777777" w:rsidR="00B055C0" w:rsidRPr="006E7C72" w:rsidRDefault="00B055C0" w:rsidP="00B055C0">
      <w:pPr>
        <w:pStyle w:val="ListParagraph"/>
        <w:numPr>
          <w:ilvl w:val="0"/>
          <w:numId w:val="12"/>
        </w:numPr>
        <w:spacing w:before="80"/>
        <w:rPr>
          <w:rFonts w:cs="Arial"/>
        </w:rPr>
      </w:pPr>
      <w:r w:rsidRPr="006E7C72">
        <w:rPr>
          <w:rFonts w:cs="Arial"/>
        </w:rPr>
        <w:t>Hvordan efterlever DTU ambitionen om Europas bedste ingeniøruddannelse</w:t>
      </w:r>
      <w:r>
        <w:rPr>
          <w:rFonts w:cs="Arial"/>
        </w:rPr>
        <w:t>?</w:t>
      </w:r>
    </w:p>
    <w:p w14:paraId="071D1C7F" w14:textId="77777777" w:rsidR="00B055C0" w:rsidRPr="002D0F78" w:rsidRDefault="00B055C0" w:rsidP="00B055C0">
      <w:pPr>
        <w:pStyle w:val="ListParagraph"/>
        <w:numPr>
          <w:ilvl w:val="0"/>
          <w:numId w:val="12"/>
        </w:numPr>
        <w:spacing w:before="120"/>
        <w:rPr>
          <w:rFonts w:cs="Arial"/>
        </w:rPr>
      </w:pPr>
      <w:r w:rsidRPr="006E7C72">
        <w:rPr>
          <w:rFonts w:cs="Arial"/>
        </w:rPr>
        <w:t>Fremlægger anbefalinger til fremtidige aktiviteter, de</w:t>
      </w:r>
      <w:r w:rsidRPr="002D0F78">
        <w:rPr>
          <w:rFonts w:cs="Arial"/>
        </w:rPr>
        <w:t xml:space="preserve">r kan pejle DTU mod det strategiske pejlemærke at have Europas bedste ingeniøruddannelse. </w:t>
      </w:r>
    </w:p>
    <w:p w14:paraId="35ED9F05" w14:textId="571B34BC" w:rsidR="00B733B6" w:rsidRPr="006851CA" w:rsidRDefault="00B055C0" w:rsidP="00B055C0">
      <w:pPr>
        <w:spacing w:before="120"/>
        <w:rPr>
          <w:rFonts w:cs="Arial"/>
        </w:rPr>
      </w:pPr>
      <w:r w:rsidRPr="006851CA">
        <w:rPr>
          <w:rFonts w:cs="Arial"/>
        </w:rPr>
        <w:t>Arbejdsgruppen har taget udgangspunkt i, at ”</w:t>
      </w:r>
      <w:r w:rsidRPr="006851CA">
        <w:rPr>
          <w:rFonts w:cs="Arial"/>
          <w:i/>
          <w:iCs/>
        </w:rPr>
        <w:t>Europas bedste ingeniøruddannelse</w:t>
      </w:r>
      <w:r w:rsidRPr="006851CA">
        <w:rPr>
          <w:rFonts w:cs="Arial"/>
        </w:rPr>
        <w:t>” fungerer som et procesmål</w:t>
      </w:r>
      <w:r w:rsidRPr="006851CA">
        <w:rPr>
          <w:rFonts w:cs="Arial"/>
          <w:b/>
          <w:bCs/>
        </w:rPr>
        <w:t xml:space="preserve"> </w:t>
      </w:r>
      <w:r w:rsidRPr="006851CA">
        <w:rPr>
          <w:rFonts w:cs="Arial"/>
        </w:rPr>
        <w:t>(og et strategisk pejlemærke), der får organisationen til at løfte barren og stå på tæer i bestræbelserne på hele tiden at udvikle DTU’s uddannelser</w:t>
      </w:r>
      <w:r>
        <w:rPr>
          <w:rFonts w:cs="Arial"/>
        </w:rPr>
        <w:t>,</w:t>
      </w:r>
      <w:r w:rsidRPr="006851CA">
        <w:rPr>
          <w:rFonts w:cs="Arial"/>
        </w:rPr>
        <w:t xml:space="preserve"> så de matcher alle interessenters forventninger. </w:t>
      </w:r>
      <w:r w:rsidR="00B733B6">
        <w:rPr>
          <w:rFonts w:cs="Arial"/>
        </w:rPr>
        <w:br/>
      </w:r>
    </w:p>
    <w:p w14:paraId="229567FA" w14:textId="024C2E4D" w:rsidR="00B055C0" w:rsidRDefault="00B055C0" w:rsidP="00B055C0">
      <w:pPr>
        <w:rPr>
          <w:rFonts w:cs="Arial"/>
        </w:rPr>
      </w:pPr>
      <w:r w:rsidRPr="006851CA">
        <w:rPr>
          <w:rFonts w:cs="Arial"/>
        </w:rPr>
        <w:t>Pejlemærket understøttes af en række kvantitative og kvalitative indikatorer, som løbende monitoreres, og som hjælper os med at holde øje med, at vi bliver bedre. Resultatet af arbejdsgruppens indsats tager derfor udgangspunkt i en beskrivelse af den undervisnings- og uddannelseskultur, vi har på DTU,</w:t>
      </w:r>
      <w:r w:rsidRPr="000257FB">
        <w:rPr>
          <w:rFonts w:cs="Arial"/>
        </w:rPr>
        <w:t xml:space="preserve"> herunder </w:t>
      </w:r>
      <w:r w:rsidRPr="000257FB">
        <w:rPr>
          <w:rFonts w:cs="Arial"/>
          <w:i/>
          <w:iCs/>
          <w:u w:val="single"/>
        </w:rPr>
        <w:t xml:space="preserve">hvad </w:t>
      </w:r>
      <w:r w:rsidR="00B733B6">
        <w:rPr>
          <w:rFonts w:cs="Arial"/>
          <w:i/>
          <w:iCs/>
          <w:u w:val="single"/>
        </w:rPr>
        <w:t>vi ser</w:t>
      </w:r>
      <w:r w:rsidRPr="000257FB">
        <w:rPr>
          <w:rFonts w:cs="Arial"/>
          <w:i/>
          <w:iCs/>
          <w:u w:val="single"/>
        </w:rPr>
        <w:t xml:space="preserve"> som unikt for DTU, og hvad vi gerne vil anerkendes fo</w:t>
      </w:r>
      <w:r w:rsidRPr="000257FB">
        <w:rPr>
          <w:rFonts w:cs="Arial"/>
          <w:u w:val="single"/>
        </w:rPr>
        <w:t>r</w:t>
      </w:r>
      <w:r>
        <w:rPr>
          <w:rFonts w:cs="Arial"/>
          <w:i/>
          <w:iCs/>
        </w:rPr>
        <w:t xml:space="preserve">? </w:t>
      </w:r>
      <w:r w:rsidRPr="006851CA">
        <w:rPr>
          <w:rFonts w:cs="Arial"/>
        </w:rPr>
        <w:t>”</w:t>
      </w:r>
      <w:r w:rsidRPr="000257FB">
        <w:rPr>
          <w:rFonts w:cs="Arial"/>
        </w:rPr>
        <w:t>Europas bedste ingeniøruddannelse</w:t>
      </w:r>
      <w:r w:rsidRPr="006851CA">
        <w:rPr>
          <w:rFonts w:cs="Arial"/>
        </w:rPr>
        <w:t>” udmøntes derfor ikke i et endeligt, målbart mål f</w:t>
      </w:r>
      <w:r w:rsidR="00B733B6">
        <w:rPr>
          <w:rFonts w:cs="Arial"/>
        </w:rPr>
        <w:t>.eks.</w:t>
      </w:r>
      <w:r w:rsidRPr="006851CA">
        <w:rPr>
          <w:rFonts w:cs="Arial"/>
        </w:rPr>
        <w:t xml:space="preserve"> en topplacering på en ranking for uddannelse.</w:t>
      </w:r>
      <w:r>
        <w:rPr>
          <w:rFonts w:cs="Arial"/>
        </w:rPr>
        <w:t xml:space="preserve"> Den konkrete formulering af, hvad </w:t>
      </w:r>
      <w:r w:rsidR="003A7DD7">
        <w:rPr>
          <w:rFonts w:cs="Arial"/>
        </w:rPr>
        <w:t>DTU</w:t>
      </w:r>
      <w:r>
        <w:rPr>
          <w:rFonts w:cs="Arial"/>
        </w:rPr>
        <w:t xml:space="preserve"> forstår ved Europas bedste ingeniøruddannelse, kan læses i bilag </w:t>
      </w:r>
      <w:r w:rsidR="00B733B6">
        <w:rPr>
          <w:rFonts w:cs="Arial"/>
        </w:rPr>
        <w:t xml:space="preserve">2. </w:t>
      </w:r>
    </w:p>
    <w:p w14:paraId="11720DF3" w14:textId="77777777" w:rsidR="00437100" w:rsidRDefault="00437100" w:rsidP="00191935"/>
    <w:p w14:paraId="3D209F02" w14:textId="2368C41E" w:rsidR="00437100" w:rsidRPr="00C13AA7" w:rsidRDefault="00437100" w:rsidP="00437100">
      <w:pPr>
        <w:pStyle w:val="Heading2"/>
      </w:pPr>
      <w:bookmarkStart w:id="2" w:name="_Toc198139401"/>
      <w:r w:rsidRPr="00C13AA7">
        <w:t>3. Forskningsbaseret myndighedsbetjening (lukket punkt)</w:t>
      </w:r>
      <w:bookmarkEnd w:id="2"/>
    </w:p>
    <w:p w14:paraId="203D24C4" w14:textId="77777777" w:rsidR="00271245" w:rsidRDefault="00271245" w:rsidP="00271245">
      <w:pPr>
        <w:tabs>
          <w:tab w:val="left" w:pos="3180"/>
        </w:tabs>
        <w:spacing w:after="120" w:line="276" w:lineRule="auto"/>
      </w:pPr>
      <w:r>
        <w:t>Fødevareministeriet (FVM) i varslede i december 2024 konkurrenceudsættelse på to af ministeriets myndighedsaftaler med Aarhus Universitet. FVM har den 10. april 2025 bedt universiteterne om at tilkendegive deres eventuelle interesse for at byde på de to aftaler. Det drejer sig om:</w:t>
      </w:r>
    </w:p>
    <w:p w14:paraId="64B84938" w14:textId="77777777" w:rsidR="00271245" w:rsidRDefault="00271245" w:rsidP="00271245">
      <w:pPr>
        <w:numPr>
          <w:ilvl w:val="0"/>
          <w:numId w:val="10"/>
        </w:numPr>
        <w:tabs>
          <w:tab w:val="left" w:pos="3180"/>
        </w:tabs>
        <w:spacing w:line="276" w:lineRule="auto"/>
      </w:pPr>
      <w:r w:rsidRPr="005D56DE">
        <w:t xml:space="preserve">Ydelsesaftalen </w:t>
      </w:r>
      <w:r>
        <w:t>”</w:t>
      </w:r>
      <w:r w:rsidRPr="005D56DE">
        <w:t>Fødevarekvalitet og Forbrugeradfærd</w:t>
      </w:r>
      <w:r>
        <w:t>”, som</w:t>
      </w:r>
      <w:r w:rsidRPr="005D56DE">
        <w:t xml:space="preserve"> udgør ca. 20 mio. kr. årligt</w:t>
      </w:r>
      <w:r>
        <w:t>.</w:t>
      </w:r>
    </w:p>
    <w:p w14:paraId="0CDDD744" w14:textId="77777777" w:rsidR="00271245" w:rsidRDefault="00271245" w:rsidP="00271245">
      <w:pPr>
        <w:numPr>
          <w:ilvl w:val="0"/>
          <w:numId w:val="10"/>
        </w:numPr>
        <w:tabs>
          <w:tab w:val="left" w:pos="3180"/>
        </w:tabs>
        <w:spacing w:after="120" w:line="276" w:lineRule="auto"/>
      </w:pPr>
      <w:r w:rsidRPr="005D56DE">
        <w:t xml:space="preserve">Indsatsområdet </w:t>
      </w:r>
      <w:r>
        <w:t>”</w:t>
      </w:r>
      <w:r w:rsidRPr="005D56DE">
        <w:t>Dyreadfærd, -sundhed og -velfærd</w:t>
      </w:r>
      <w:r>
        <w:t>”</w:t>
      </w:r>
      <w:r w:rsidRPr="005D56DE">
        <w:t xml:space="preserve"> (</w:t>
      </w:r>
      <w:r>
        <w:t xml:space="preserve">et indsatsområde </w:t>
      </w:r>
      <w:r w:rsidRPr="005D56DE">
        <w:t>under ydelsesaftalen Husdyrbrug)</w:t>
      </w:r>
      <w:r>
        <w:t>, som</w:t>
      </w:r>
      <w:r w:rsidRPr="005D56DE">
        <w:t xml:space="preserve"> udgør ca. 30 mio. kr. årligt.</w:t>
      </w:r>
    </w:p>
    <w:p w14:paraId="59F575E5" w14:textId="77777777" w:rsidR="0047590A" w:rsidRDefault="0047590A" w:rsidP="0047590A">
      <w:pPr>
        <w:tabs>
          <w:tab w:val="left" w:pos="3180"/>
        </w:tabs>
        <w:spacing w:after="120" w:line="276" w:lineRule="auto"/>
      </w:pPr>
      <w:r>
        <w:t>Bevillingerne, som finansierer 50 pct. rådgivning og 50 pct. understøttende forskning, reguleres løbende med pris- og lønindeks og er underlagt det årlige omprioriteringsbidrag på 2 pct.</w:t>
      </w:r>
    </w:p>
    <w:p w14:paraId="4057B7BC" w14:textId="78392ED6" w:rsidR="0047590A" w:rsidRDefault="0047590A" w:rsidP="0047590A">
      <w:pPr>
        <w:tabs>
          <w:tab w:val="left" w:pos="3180"/>
        </w:tabs>
        <w:spacing w:after="120" w:line="276" w:lineRule="auto"/>
      </w:pPr>
      <w:r>
        <w:t>FVM følger Uddannelses- og Forskningsstyrelsens retningslinjer vedr. konkurrenceudsættelse. Retningslinjerne omfatter bl.a. udarbejdelse af en konsekvensanalyse, som belyser de faglige og økonomiske konsekvenser ved at flytte opgaverne. En endelig beslutning om konkurrenceudsættelse vil afhænge af denne analyse. Hvis FVM beslutter at konkurrenceudsætte</w:t>
      </w:r>
      <w:r w:rsidR="003A7DD7">
        <w:t xml:space="preserve"> de to aftaler</w:t>
      </w:r>
      <w:r>
        <w:t>, vil der blive indgået nye aftaler med virkning fra 2028. Aftaleperioden vil være minimum otte år.</w:t>
      </w:r>
    </w:p>
    <w:p w14:paraId="0D68B7BE" w14:textId="5F54B092" w:rsidR="0047590A" w:rsidRDefault="0047590A" w:rsidP="0047590A">
      <w:pPr>
        <w:tabs>
          <w:tab w:val="left" w:pos="3180"/>
        </w:tabs>
        <w:spacing w:after="120" w:line="276" w:lineRule="auto"/>
      </w:pPr>
      <w:r>
        <w:t xml:space="preserve">De relevante </w:t>
      </w:r>
      <w:r w:rsidR="003A7DD7">
        <w:t>DTU-</w:t>
      </w:r>
      <w:r>
        <w:t>institutter har vurderet de to myndighedsaftaler. Det vurderes hensigtsmæssigt, at DTU tilkendegiver interesse for at byde på aftalen om ”</w:t>
      </w:r>
      <w:r w:rsidRPr="005D56DE">
        <w:t>Fødevarekvalitet og Forbrugeradfærd</w:t>
      </w:r>
      <w:r>
        <w:t xml:space="preserve">”. Der er et </w:t>
      </w:r>
      <w:r w:rsidRPr="003770B9">
        <w:t xml:space="preserve">væsentligt fagligt overlap </w:t>
      </w:r>
      <w:r>
        <w:t xml:space="preserve">og en høj grad af synergi mellem rådgivnings- og forskningsbehovet inden for dette fagområde og DTU Foods </w:t>
      </w:r>
      <w:r w:rsidRPr="003770B9">
        <w:t xml:space="preserve">nuværende aftale </w:t>
      </w:r>
      <w:r>
        <w:t>med FVM inden for kemi og fødevarer</w:t>
      </w:r>
      <w:r w:rsidRPr="003770B9">
        <w:t>.</w:t>
      </w:r>
      <w:r>
        <w:t xml:space="preserve"> Der udestår en afklaring af, om DTU </w:t>
      </w:r>
      <w:proofErr w:type="spellStart"/>
      <w:r>
        <w:t>Sustain</w:t>
      </w:r>
      <w:proofErr w:type="spellEnd"/>
      <w:r>
        <w:t xml:space="preserve"> og DTU Management med fordel kan bidrage til løsning af opgaver vedr. fødevarekvalitet og forbrugeradfærd. </w:t>
      </w:r>
    </w:p>
    <w:p w14:paraId="76BF5991" w14:textId="77777777" w:rsidR="0047590A" w:rsidRDefault="0047590A" w:rsidP="0047590A">
      <w:pPr>
        <w:tabs>
          <w:tab w:val="left" w:pos="3180"/>
        </w:tabs>
        <w:spacing w:after="120" w:line="276" w:lineRule="auto"/>
      </w:pPr>
      <w:r w:rsidRPr="00977736">
        <w:t xml:space="preserve">DTU </w:t>
      </w:r>
      <w:r>
        <w:t xml:space="preserve">vil ikke tilkendegive </w:t>
      </w:r>
      <w:r w:rsidRPr="00977736">
        <w:t xml:space="preserve">interesse for </w:t>
      </w:r>
      <w:r>
        <w:t>at byde på indsatsområdet ”</w:t>
      </w:r>
      <w:r w:rsidRPr="005D56DE">
        <w:t>Dyreadfærd, -sundhed og -velfærd</w:t>
      </w:r>
      <w:r>
        <w:t>”.</w:t>
      </w:r>
    </w:p>
    <w:p w14:paraId="1C5B7F8F" w14:textId="77777777" w:rsidR="0047590A" w:rsidRPr="008A2022" w:rsidRDefault="0047590A" w:rsidP="0047590A">
      <w:pPr>
        <w:tabs>
          <w:tab w:val="left" w:pos="3180"/>
        </w:tabs>
        <w:spacing w:after="120" w:line="276" w:lineRule="auto"/>
      </w:pPr>
      <w:r>
        <w:lastRenderedPageBreak/>
        <w:t xml:space="preserve">FVM </w:t>
      </w:r>
      <w:r w:rsidRPr="005D56DE">
        <w:t xml:space="preserve">vil i andet halvår </w:t>
      </w:r>
      <w:r>
        <w:t xml:space="preserve">af </w:t>
      </w:r>
      <w:r w:rsidRPr="005D56DE">
        <w:t>2025</w:t>
      </w:r>
      <w:r>
        <w:t xml:space="preserve"> </w:t>
      </w:r>
      <w:r w:rsidRPr="005D56DE">
        <w:t>oplyse om den videre proces</w:t>
      </w:r>
      <w:r>
        <w:t>.</w:t>
      </w:r>
    </w:p>
    <w:p w14:paraId="5C13FE43" w14:textId="48075E56" w:rsidR="00191935" w:rsidRPr="007549BF" w:rsidRDefault="00437100" w:rsidP="00191935">
      <w:pPr>
        <w:pStyle w:val="Heading2"/>
        <w:rPr>
          <w:lang w:val="nb-NO"/>
        </w:rPr>
      </w:pPr>
      <w:bookmarkStart w:id="3" w:name="_Toc198139402"/>
      <w:r>
        <w:rPr>
          <w:lang w:val="nb-NO"/>
        </w:rPr>
        <w:t>4</w:t>
      </w:r>
      <w:r w:rsidR="00191935" w:rsidRPr="00437100">
        <w:rPr>
          <w:lang w:val="nb-NO"/>
        </w:rPr>
        <w:t xml:space="preserve">. </w:t>
      </w:r>
      <w:r w:rsidR="005C7753" w:rsidRPr="00437100">
        <w:rPr>
          <w:lang w:val="nb-NO"/>
        </w:rPr>
        <w:t xml:space="preserve">Status </w:t>
      </w:r>
      <w:r w:rsidR="00145AC0">
        <w:rPr>
          <w:lang w:val="nb-NO"/>
        </w:rPr>
        <w:t xml:space="preserve">vedr. </w:t>
      </w:r>
      <w:r w:rsidR="005C7753" w:rsidRPr="00437100">
        <w:rPr>
          <w:lang w:val="nb-NO"/>
        </w:rPr>
        <w:t>Dana V</w:t>
      </w:r>
      <w:r w:rsidR="00145AC0">
        <w:rPr>
          <w:lang w:val="nb-NO"/>
        </w:rPr>
        <w:t xml:space="preserve"> </w:t>
      </w:r>
      <w:r w:rsidR="00145AC0" w:rsidRPr="007549BF">
        <w:rPr>
          <w:lang w:val="nb-NO"/>
        </w:rPr>
        <w:t>(lukket punkt</w:t>
      </w:r>
      <w:bookmarkEnd w:id="3"/>
      <w:r w:rsidR="00476364">
        <w:rPr>
          <w:lang w:val="nb-NO"/>
        </w:rPr>
        <w:t>)</w:t>
      </w:r>
    </w:p>
    <w:p w14:paraId="6B44BA8B" w14:textId="4CB56DFE" w:rsidR="007549BF" w:rsidRDefault="00BD3FBB" w:rsidP="007549BF">
      <w:pPr>
        <w:spacing w:line="288" w:lineRule="auto"/>
        <w:rPr>
          <w:rFonts w:cs="Arial"/>
          <w:i/>
        </w:rPr>
      </w:pPr>
      <w:r>
        <w:rPr>
          <w:rFonts w:cs="Arial"/>
          <w:i/>
        </w:rPr>
        <w:t>Ingen bemærkninger</w:t>
      </w:r>
    </w:p>
    <w:p w14:paraId="083AF81A" w14:textId="77777777" w:rsidR="00BD3FBB" w:rsidRPr="007549BF" w:rsidRDefault="00BD3FBB" w:rsidP="007549BF">
      <w:pPr>
        <w:spacing w:line="288" w:lineRule="auto"/>
        <w:rPr>
          <w:rFonts w:cs="Arial"/>
          <w:i/>
        </w:rPr>
      </w:pPr>
    </w:p>
    <w:p w14:paraId="2AE09E99" w14:textId="5DC784A1" w:rsidR="00191935" w:rsidRDefault="00437100" w:rsidP="00191935">
      <w:pPr>
        <w:pStyle w:val="Heading2"/>
      </w:pPr>
      <w:bookmarkStart w:id="4" w:name="_Toc198139403"/>
      <w:bookmarkStart w:id="5" w:name="_Hlk168905244"/>
      <w:r>
        <w:t>5</w:t>
      </w:r>
      <w:r w:rsidR="00191935">
        <w:t xml:space="preserve">. </w:t>
      </w:r>
      <w:r w:rsidR="005C7753">
        <w:t>Skriftlige meddelelser</w:t>
      </w:r>
      <w:bookmarkEnd w:id="4"/>
    </w:p>
    <w:bookmarkEnd w:id="5"/>
    <w:p w14:paraId="5E6E519E" w14:textId="4B17BD67" w:rsidR="00191935" w:rsidRDefault="00B82706" w:rsidP="001B0CED">
      <w:pPr>
        <w:spacing w:line="276" w:lineRule="auto"/>
        <w:rPr>
          <w:i/>
          <w:iCs/>
        </w:rPr>
      </w:pPr>
      <w:r>
        <w:rPr>
          <w:i/>
          <w:iCs/>
        </w:rPr>
        <w:t>Større bevillinger siden sidst</w:t>
      </w:r>
    </w:p>
    <w:p w14:paraId="5029F2EE" w14:textId="02A6BD95" w:rsidR="00B82706" w:rsidRDefault="00B82706" w:rsidP="00B82706">
      <w:pPr>
        <w:spacing w:line="288" w:lineRule="auto"/>
      </w:pPr>
      <w:r w:rsidRPr="00B82706">
        <w:rPr>
          <w:bCs/>
        </w:rPr>
        <w:t xml:space="preserve">Villum </w:t>
      </w:r>
      <w:proofErr w:type="spellStart"/>
      <w:r w:rsidRPr="00B82706">
        <w:rPr>
          <w:bCs/>
        </w:rPr>
        <w:t>Investigator</w:t>
      </w:r>
      <w:proofErr w:type="spellEnd"/>
      <w:r>
        <w:t xml:space="preserve"> uddeles hvert andet år til erfarne og internationalt anerkendte topforskere inden for </w:t>
      </w:r>
      <w:proofErr w:type="spellStart"/>
      <w:r>
        <w:t>tek</w:t>
      </w:r>
      <w:proofErr w:type="spellEnd"/>
      <w:r>
        <w:t xml:space="preserve">/nat-området. I 2025 </w:t>
      </w:r>
      <w:r w:rsidR="001C5C24">
        <w:t>er</w:t>
      </w:r>
      <w:r>
        <w:t xml:space="preserve"> der uddelt omkring 10 bevillinger (ikke offentliggjort endnu), hvoraf DTU modtog fire på hver ca. 30 mio. kr.:</w:t>
      </w:r>
    </w:p>
    <w:p w14:paraId="4F0EFFD8" w14:textId="77777777" w:rsidR="00B82706" w:rsidRPr="00B82706" w:rsidRDefault="00B82706" w:rsidP="00B82706">
      <w:pPr>
        <w:pStyle w:val="ListParagraph"/>
        <w:numPr>
          <w:ilvl w:val="0"/>
          <w:numId w:val="5"/>
        </w:numPr>
        <w:spacing w:line="288" w:lineRule="auto"/>
        <w:contextualSpacing w:val="0"/>
        <w:rPr>
          <w:lang w:val="nb-NO"/>
        </w:rPr>
      </w:pPr>
      <w:r w:rsidRPr="00B82706">
        <w:rPr>
          <w:lang w:val="nb-NO"/>
        </w:rPr>
        <w:t>Henning Friis Poulsen, professor, DTU Fysik</w:t>
      </w:r>
    </w:p>
    <w:p w14:paraId="0D79E979" w14:textId="77777777" w:rsidR="00B82706" w:rsidRPr="00E258D8" w:rsidRDefault="00B82706" w:rsidP="00B82706">
      <w:pPr>
        <w:pStyle w:val="ListParagraph"/>
        <w:numPr>
          <w:ilvl w:val="0"/>
          <w:numId w:val="5"/>
        </w:numPr>
        <w:spacing w:line="288" w:lineRule="auto"/>
        <w:contextualSpacing w:val="0"/>
      </w:pPr>
      <w:r w:rsidRPr="00E258D8">
        <w:rPr>
          <w:lang w:val="en-US"/>
        </w:rPr>
        <w:t>Irini Angelidaki, professor, DTU Kemiteknik</w:t>
      </w:r>
    </w:p>
    <w:p w14:paraId="18FE7EEE" w14:textId="77777777" w:rsidR="00B82706" w:rsidRPr="00E258D8" w:rsidRDefault="00B82706" w:rsidP="00B82706">
      <w:pPr>
        <w:pStyle w:val="ListParagraph"/>
        <w:numPr>
          <w:ilvl w:val="0"/>
          <w:numId w:val="5"/>
        </w:numPr>
        <w:spacing w:line="288" w:lineRule="auto"/>
        <w:contextualSpacing w:val="0"/>
        <w:rPr>
          <w:lang w:val="en-US"/>
        </w:rPr>
      </w:pPr>
      <w:r w:rsidRPr="00E258D8">
        <w:rPr>
          <w:lang w:val="en-US"/>
        </w:rPr>
        <w:t>Leif Katsuo Oxenløwe, professor, DTU Electro</w:t>
      </w:r>
    </w:p>
    <w:p w14:paraId="76583E3C" w14:textId="77777777" w:rsidR="00B82706" w:rsidRPr="00E258D8" w:rsidRDefault="00B82706" w:rsidP="00B82706">
      <w:pPr>
        <w:pStyle w:val="ListParagraph"/>
        <w:numPr>
          <w:ilvl w:val="0"/>
          <w:numId w:val="5"/>
        </w:numPr>
        <w:spacing w:line="288" w:lineRule="auto"/>
        <w:contextualSpacing w:val="0"/>
        <w:rPr>
          <w:lang w:val="en-US"/>
        </w:rPr>
      </w:pPr>
      <w:r w:rsidRPr="00E258D8">
        <w:rPr>
          <w:lang w:val="en-US"/>
        </w:rPr>
        <w:t>Nini Pryds, professor, DTU Energi</w:t>
      </w:r>
    </w:p>
    <w:p w14:paraId="407B5153" w14:textId="6D03061D" w:rsidR="00B82706" w:rsidRDefault="00B82706" w:rsidP="00B82706">
      <w:pPr>
        <w:spacing w:line="288" w:lineRule="auto"/>
      </w:pPr>
    </w:p>
    <w:p w14:paraId="66348DAB" w14:textId="77777777" w:rsidR="00B82706" w:rsidRDefault="00B82706" w:rsidP="00B82706">
      <w:pPr>
        <w:spacing w:line="288" w:lineRule="auto"/>
        <w:rPr>
          <w:bCs/>
        </w:rPr>
      </w:pPr>
      <w:proofErr w:type="spellStart"/>
      <w:r w:rsidRPr="00B82706">
        <w:rPr>
          <w:bCs/>
        </w:rPr>
        <w:t>Carlsbergfondet</w:t>
      </w:r>
      <w:proofErr w:type="spellEnd"/>
      <w:r w:rsidRPr="00CE2B60">
        <w:rPr>
          <w:bCs/>
        </w:rPr>
        <w:t xml:space="preserve"> uddeler </w:t>
      </w:r>
      <w:r>
        <w:rPr>
          <w:bCs/>
        </w:rPr>
        <w:t xml:space="preserve">hvert andet år Semper Ardens </w:t>
      </w:r>
      <w:proofErr w:type="spellStart"/>
      <w:r>
        <w:rPr>
          <w:bCs/>
        </w:rPr>
        <w:t>Advance</w:t>
      </w:r>
      <w:proofErr w:type="spellEnd"/>
      <w:r>
        <w:rPr>
          <w:bCs/>
        </w:rPr>
        <w:t xml:space="preserve"> bevillinger til et team af 1-4 excellente forskere. To DTU forskere var </w:t>
      </w:r>
      <w:proofErr w:type="spellStart"/>
      <w:r>
        <w:rPr>
          <w:bCs/>
        </w:rPr>
        <w:t>PI’s</w:t>
      </w:r>
      <w:proofErr w:type="spellEnd"/>
      <w:r>
        <w:rPr>
          <w:bCs/>
        </w:rPr>
        <w:t xml:space="preserve"> i en bevilling på 25 mio. kr. med tre deltagere, hvoraf ca. 15 mio. kr. går til DTU:</w:t>
      </w:r>
    </w:p>
    <w:p w14:paraId="2679C29B" w14:textId="77777777" w:rsidR="00B82706" w:rsidRPr="0014640F" w:rsidRDefault="00B82706" w:rsidP="00B82706">
      <w:pPr>
        <w:pStyle w:val="ListParagraph"/>
        <w:numPr>
          <w:ilvl w:val="0"/>
          <w:numId w:val="7"/>
        </w:numPr>
        <w:spacing w:line="288" w:lineRule="auto"/>
        <w:contextualSpacing w:val="0"/>
        <w:rPr>
          <w:bCs/>
        </w:rPr>
      </w:pPr>
      <w:r w:rsidRPr="0014640F">
        <w:rPr>
          <w:bCs/>
        </w:rPr>
        <w:t xml:space="preserve">Rasmus Bjørk, professor, DTU Energi og Cathrine Frandsen, professor, DTU Fysik </w:t>
      </w:r>
    </w:p>
    <w:p w14:paraId="67FEAB50" w14:textId="77777777" w:rsidR="00B82706" w:rsidRDefault="00B82706" w:rsidP="00B82706">
      <w:pPr>
        <w:spacing w:line="288" w:lineRule="auto"/>
      </w:pPr>
    </w:p>
    <w:p w14:paraId="69661F82" w14:textId="06E8F57A" w:rsidR="00B82706" w:rsidRDefault="00B82706" w:rsidP="00B82706">
      <w:pPr>
        <w:spacing w:line="288" w:lineRule="auto"/>
      </w:pPr>
      <w:r w:rsidRPr="00B82706">
        <w:t>Lundbeckfonden</w:t>
      </w:r>
      <w:r>
        <w:rPr>
          <w:b/>
          <w:bCs/>
        </w:rPr>
        <w:t xml:space="preserve"> </w:t>
      </w:r>
      <w:r>
        <w:t>uddeler hvert år stipendier til særligt lovende unge forskere, som er kvalificerede til at etablere eller udbygge en forskergruppe. I år gik to bevillinger til forskere på DTU, som hver modtager 10 millioner kr.:</w:t>
      </w:r>
    </w:p>
    <w:p w14:paraId="0DD39ACE" w14:textId="77777777" w:rsidR="00B82706" w:rsidRPr="001052F9" w:rsidRDefault="00B82706" w:rsidP="00B82706">
      <w:pPr>
        <w:pStyle w:val="ListParagraph"/>
        <w:numPr>
          <w:ilvl w:val="0"/>
          <w:numId w:val="7"/>
        </w:numPr>
        <w:spacing w:line="288" w:lineRule="auto"/>
        <w:contextualSpacing w:val="0"/>
        <w:rPr>
          <w:lang w:val="en-US"/>
        </w:rPr>
      </w:pPr>
      <w:r w:rsidRPr="001052F9">
        <w:rPr>
          <w:lang w:val="en-US"/>
        </w:rPr>
        <w:t xml:space="preserve">Soumik Ray, </w:t>
      </w:r>
      <w:proofErr w:type="spellStart"/>
      <w:r w:rsidRPr="001052F9">
        <w:rPr>
          <w:lang w:val="en-US"/>
        </w:rPr>
        <w:t>adjunkt</w:t>
      </w:r>
      <w:proofErr w:type="spellEnd"/>
      <w:r w:rsidRPr="001052F9">
        <w:rPr>
          <w:lang w:val="en-US"/>
        </w:rPr>
        <w:t>, DTU Bioengineering</w:t>
      </w:r>
    </w:p>
    <w:p w14:paraId="09E68118" w14:textId="2AB8AD99" w:rsidR="00B82706" w:rsidRDefault="00B82706" w:rsidP="00B82706">
      <w:pPr>
        <w:pStyle w:val="ListParagraph"/>
        <w:numPr>
          <w:ilvl w:val="0"/>
          <w:numId w:val="7"/>
        </w:numPr>
        <w:spacing w:line="288" w:lineRule="auto"/>
        <w:contextualSpacing w:val="0"/>
        <w:rPr>
          <w:lang w:val="en-US"/>
        </w:rPr>
      </w:pPr>
      <w:r w:rsidRPr="001052F9">
        <w:rPr>
          <w:lang w:val="en-US"/>
        </w:rPr>
        <w:t xml:space="preserve">Lisa Riedmayr, </w:t>
      </w:r>
      <w:proofErr w:type="spellStart"/>
      <w:r w:rsidRPr="001052F9">
        <w:rPr>
          <w:lang w:val="en-US"/>
        </w:rPr>
        <w:t>adjun</w:t>
      </w:r>
      <w:r w:rsidR="00B3569D">
        <w:rPr>
          <w:lang w:val="en-US"/>
        </w:rPr>
        <w:t>k</w:t>
      </w:r>
      <w:r w:rsidRPr="001052F9">
        <w:rPr>
          <w:lang w:val="en-US"/>
        </w:rPr>
        <w:t>t</w:t>
      </w:r>
      <w:proofErr w:type="spellEnd"/>
      <w:r w:rsidRPr="001052F9">
        <w:rPr>
          <w:lang w:val="en-US"/>
        </w:rPr>
        <w:t>, DTU Bioengineering</w:t>
      </w:r>
    </w:p>
    <w:p w14:paraId="44BCC12B" w14:textId="77777777" w:rsidR="00B82706" w:rsidRDefault="00B82706" w:rsidP="00B82706">
      <w:pPr>
        <w:spacing w:line="288" w:lineRule="auto"/>
        <w:rPr>
          <w:lang w:val="en-US"/>
        </w:rPr>
      </w:pPr>
    </w:p>
    <w:p w14:paraId="236BE5B0" w14:textId="1F0A2C5A" w:rsidR="00B82706" w:rsidRDefault="00B82706" w:rsidP="00B82706">
      <w:pPr>
        <w:spacing w:line="288" w:lineRule="auto"/>
      </w:pPr>
      <w:r w:rsidRPr="00B82706">
        <w:t>Horizon Europe</w:t>
      </w:r>
      <w:r w:rsidRPr="00537D5F">
        <w:rPr>
          <w:b/>
          <w:bCs/>
        </w:rPr>
        <w:t xml:space="preserve"> </w:t>
      </w:r>
      <w:r w:rsidRPr="00537D5F">
        <w:t xml:space="preserve">uddeler bl.a. midler til internationale samarbejdsprojekter med strategisk sigte. Vi kan </w:t>
      </w:r>
      <w:r>
        <w:t>siden sidst</w:t>
      </w:r>
      <w:r w:rsidRPr="00537D5F">
        <w:t xml:space="preserve"> orientere om to bevillinger med DTU som </w:t>
      </w:r>
      <w:r>
        <w:t xml:space="preserve">partner (ingen som koordinator), og hvoraf DTU’s samlede andel af bevillingerne udgør ca. 1 mio. </w:t>
      </w:r>
      <w:r w:rsidR="001C7F6A">
        <w:t>e</w:t>
      </w:r>
      <w:r>
        <w:t>uro.</w:t>
      </w:r>
    </w:p>
    <w:p w14:paraId="0436C493" w14:textId="77777777" w:rsidR="00B82706" w:rsidRDefault="00B82706" w:rsidP="00B82706">
      <w:pPr>
        <w:spacing w:line="288" w:lineRule="auto"/>
      </w:pPr>
    </w:p>
    <w:p w14:paraId="77AA244C" w14:textId="7CAB1281" w:rsidR="00B82706" w:rsidRPr="00F13E87" w:rsidRDefault="00B82706" w:rsidP="00B82706">
      <w:pPr>
        <w:spacing w:line="288" w:lineRule="auto"/>
      </w:pPr>
      <w:r w:rsidRPr="00B82706">
        <w:t>Horizon Europe</w:t>
      </w:r>
      <w:r>
        <w:t xml:space="preserve"> uddeler desuden én gang årligt midler til</w:t>
      </w:r>
      <w:r>
        <w:rPr>
          <w:b/>
          <w:bCs/>
        </w:rPr>
        <w:t xml:space="preserve"> </w:t>
      </w:r>
      <w:r w:rsidRPr="00F13E87">
        <w:t xml:space="preserve">Marie Curie </w:t>
      </w:r>
      <w:proofErr w:type="spellStart"/>
      <w:r w:rsidRPr="00F13E87">
        <w:t>Doctoral</w:t>
      </w:r>
      <w:proofErr w:type="spellEnd"/>
      <w:r w:rsidRPr="00F13E87">
        <w:t xml:space="preserve"> Networks (MSCA-DN) program</w:t>
      </w:r>
      <w:r>
        <w:t>met</w:t>
      </w:r>
      <w:r w:rsidRPr="00F13E87">
        <w:t xml:space="preserve"> til europæiske konsortier/netværk bestående af universiteter, organisationer og virksomheder, med formålet at uddanne Ph.d.-studerende på tværs af landegrænser, discipliner og sektorer. Hvert netværk kan rekruttere og uddanne op til 15 Ph.d.-studerende.</w:t>
      </w:r>
      <w:r>
        <w:t xml:space="preserve"> Der kan </w:t>
      </w:r>
      <w:r w:rsidRPr="00F13E87">
        <w:t>orientere</w:t>
      </w:r>
      <w:r>
        <w:t>s</w:t>
      </w:r>
      <w:r w:rsidRPr="00F13E87">
        <w:t xml:space="preserve"> om 9 MSCA-DN bevillinger koordineret af DTU:</w:t>
      </w:r>
    </w:p>
    <w:p w14:paraId="798E8653" w14:textId="2F819CB2" w:rsidR="00B82706" w:rsidRPr="00F13E87" w:rsidRDefault="00B82706" w:rsidP="00B82706">
      <w:pPr>
        <w:numPr>
          <w:ilvl w:val="0"/>
          <w:numId w:val="8"/>
        </w:numPr>
        <w:spacing w:line="288" w:lineRule="auto"/>
      </w:pPr>
      <w:r w:rsidRPr="00F13E87">
        <w:t xml:space="preserve">0,67 mio. </w:t>
      </w:r>
      <w:r w:rsidR="00C13AA7">
        <w:t>e</w:t>
      </w:r>
      <w:r w:rsidRPr="00F13E87">
        <w:t xml:space="preserve">uro (samlet budget 3,93 mio. </w:t>
      </w:r>
      <w:r w:rsidR="00FA31A4">
        <w:t>e</w:t>
      </w:r>
      <w:r w:rsidRPr="00F13E87">
        <w:t xml:space="preserve">uro) til projektet </w:t>
      </w:r>
      <w:proofErr w:type="spellStart"/>
      <w:r w:rsidRPr="00F13E87">
        <w:t>Multiscale</w:t>
      </w:r>
      <w:proofErr w:type="spellEnd"/>
      <w:r w:rsidRPr="00F13E87">
        <w:t xml:space="preserve"> Frameworks for Biosolutions (</w:t>
      </w:r>
      <w:proofErr w:type="spellStart"/>
      <w:r w:rsidRPr="00F13E87">
        <w:t>FrameBio</w:t>
      </w:r>
      <w:proofErr w:type="spellEnd"/>
      <w:r w:rsidRPr="00F13E87">
        <w:t xml:space="preserve">) koordineret af </w:t>
      </w:r>
      <w:proofErr w:type="spellStart"/>
      <w:r w:rsidRPr="00F13E87">
        <w:t>Sumesh</w:t>
      </w:r>
      <w:proofErr w:type="spellEnd"/>
      <w:r w:rsidRPr="00F13E87">
        <w:t xml:space="preserve"> </w:t>
      </w:r>
      <w:proofErr w:type="spellStart"/>
      <w:r w:rsidRPr="00F13E87">
        <w:t>Sukumara</w:t>
      </w:r>
      <w:proofErr w:type="spellEnd"/>
      <w:r w:rsidRPr="00F13E87">
        <w:t xml:space="preserve">, </w:t>
      </w:r>
      <w:r w:rsidR="00375865">
        <w:t>s</w:t>
      </w:r>
      <w:r w:rsidRPr="00F13E87">
        <w:t xml:space="preserve">eniorforsker, DTU </w:t>
      </w:r>
      <w:proofErr w:type="spellStart"/>
      <w:r w:rsidRPr="00F13E87">
        <w:t>Biosustain</w:t>
      </w:r>
      <w:proofErr w:type="spellEnd"/>
    </w:p>
    <w:p w14:paraId="6BC42120" w14:textId="480AE7D9" w:rsidR="00B82706" w:rsidRPr="00F13E87" w:rsidRDefault="00B82706" w:rsidP="00B82706">
      <w:pPr>
        <w:numPr>
          <w:ilvl w:val="0"/>
          <w:numId w:val="8"/>
        </w:numPr>
        <w:spacing w:line="288" w:lineRule="auto"/>
      </w:pPr>
      <w:r w:rsidRPr="00F13E87">
        <w:t xml:space="preserve">1,34 mio. </w:t>
      </w:r>
      <w:r w:rsidR="00C13AA7">
        <w:t>e</w:t>
      </w:r>
      <w:r w:rsidRPr="00F13E87">
        <w:t xml:space="preserve">uro (samlet budget 4,56 mio. </w:t>
      </w:r>
      <w:r w:rsidR="00FA31A4">
        <w:t>e</w:t>
      </w:r>
      <w:r w:rsidRPr="00F13E87">
        <w:t xml:space="preserve">uro) til projektet Biosensors Using Graphene for </w:t>
      </w:r>
      <w:proofErr w:type="spellStart"/>
      <w:r w:rsidRPr="00F13E87">
        <w:t>Infection</w:t>
      </w:r>
      <w:proofErr w:type="spellEnd"/>
      <w:r w:rsidRPr="00F13E87">
        <w:t xml:space="preserve"> Diagnostics (BUG-ID) koordineret af Ivan </w:t>
      </w:r>
      <w:proofErr w:type="spellStart"/>
      <w:r w:rsidRPr="00F13E87">
        <w:t>Mijakovic</w:t>
      </w:r>
      <w:proofErr w:type="spellEnd"/>
      <w:r w:rsidRPr="00F13E87">
        <w:t xml:space="preserve">, </w:t>
      </w:r>
      <w:r w:rsidR="00375865">
        <w:t>p</w:t>
      </w:r>
      <w:r w:rsidRPr="00F13E87">
        <w:t xml:space="preserve">rofessor, DTU </w:t>
      </w:r>
      <w:proofErr w:type="spellStart"/>
      <w:r w:rsidRPr="00F13E87">
        <w:t>Biosustain</w:t>
      </w:r>
      <w:proofErr w:type="spellEnd"/>
    </w:p>
    <w:p w14:paraId="5E37B5F2" w14:textId="6E90F445" w:rsidR="00B82706" w:rsidRPr="00F13E87" w:rsidRDefault="00B82706" w:rsidP="00B82706">
      <w:pPr>
        <w:numPr>
          <w:ilvl w:val="0"/>
          <w:numId w:val="8"/>
        </w:numPr>
        <w:spacing w:line="288" w:lineRule="auto"/>
      </w:pPr>
      <w:r w:rsidRPr="00F13E87">
        <w:t xml:space="preserve">0,67 mio. </w:t>
      </w:r>
      <w:r w:rsidR="00C13AA7">
        <w:t>e</w:t>
      </w:r>
      <w:r w:rsidRPr="00F13E87">
        <w:t xml:space="preserve">uro (samlet budget 4,47 mio. </w:t>
      </w:r>
      <w:r w:rsidR="00FA31A4">
        <w:t>e</w:t>
      </w:r>
      <w:r w:rsidRPr="00F13E87">
        <w:t xml:space="preserve">uro) til projektet Machine learning for </w:t>
      </w:r>
      <w:proofErr w:type="spellStart"/>
      <w:r w:rsidRPr="00F13E87">
        <w:t>integrated</w:t>
      </w:r>
      <w:proofErr w:type="spellEnd"/>
      <w:r w:rsidRPr="00F13E87">
        <w:t xml:space="preserve"> </w:t>
      </w:r>
      <w:proofErr w:type="spellStart"/>
      <w:r w:rsidRPr="00F13E87">
        <w:t>multi-parametric</w:t>
      </w:r>
      <w:proofErr w:type="spellEnd"/>
      <w:r w:rsidRPr="00F13E87">
        <w:t xml:space="preserve"> </w:t>
      </w:r>
      <w:proofErr w:type="spellStart"/>
      <w:r w:rsidRPr="00F13E87">
        <w:t>enzyme</w:t>
      </w:r>
      <w:proofErr w:type="spellEnd"/>
      <w:r w:rsidRPr="00F13E87">
        <w:t xml:space="preserve"> and </w:t>
      </w:r>
      <w:proofErr w:type="spellStart"/>
      <w:r w:rsidRPr="00F13E87">
        <w:t>bioprocess</w:t>
      </w:r>
      <w:proofErr w:type="spellEnd"/>
      <w:r w:rsidRPr="00F13E87">
        <w:t xml:space="preserve"> design (ELEGANCE) koordineret af Carlos G. </w:t>
      </w:r>
      <w:proofErr w:type="spellStart"/>
      <w:r w:rsidRPr="00F13E87">
        <w:t>Acevedo-Rocha</w:t>
      </w:r>
      <w:proofErr w:type="spellEnd"/>
      <w:r w:rsidRPr="00F13E87">
        <w:t xml:space="preserve">, </w:t>
      </w:r>
      <w:r w:rsidR="00375865">
        <w:t>s</w:t>
      </w:r>
      <w:r w:rsidRPr="00F13E87">
        <w:t xml:space="preserve">eniorforsker, DTU </w:t>
      </w:r>
      <w:proofErr w:type="spellStart"/>
      <w:r w:rsidRPr="00F13E87">
        <w:t>Biosustain</w:t>
      </w:r>
      <w:proofErr w:type="spellEnd"/>
    </w:p>
    <w:p w14:paraId="1A4BDF5B" w14:textId="1EC90888" w:rsidR="00B82706" w:rsidRPr="00866BDF" w:rsidRDefault="00B82706" w:rsidP="00B82706">
      <w:pPr>
        <w:numPr>
          <w:ilvl w:val="0"/>
          <w:numId w:val="8"/>
        </w:numPr>
        <w:spacing w:line="288" w:lineRule="auto"/>
      </w:pPr>
      <w:r w:rsidRPr="00866BDF">
        <w:lastRenderedPageBreak/>
        <w:t xml:space="preserve">1 mio. </w:t>
      </w:r>
      <w:r w:rsidR="00C13AA7" w:rsidRPr="00866BDF">
        <w:t>e</w:t>
      </w:r>
      <w:r w:rsidRPr="00866BDF">
        <w:t xml:space="preserve">uro (samlet budget 3,77 mio. </w:t>
      </w:r>
      <w:r w:rsidR="00FA31A4" w:rsidRPr="00866BDF">
        <w:t>e</w:t>
      </w:r>
      <w:r w:rsidRPr="00866BDF">
        <w:t xml:space="preserve">uro) til projektet </w:t>
      </w:r>
      <w:proofErr w:type="spellStart"/>
      <w:r w:rsidRPr="00866BDF">
        <w:t>Doctoral</w:t>
      </w:r>
      <w:proofErr w:type="spellEnd"/>
      <w:r w:rsidRPr="00866BDF">
        <w:t xml:space="preserve"> Network on Enabling </w:t>
      </w:r>
      <w:proofErr w:type="spellStart"/>
      <w:r w:rsidRPr="00866BDF">
        <w:t>Scaled</w:t>
      </w:r>
      <w:proofErr w:type="spellEnd"/>
      <w:r w:rsidRPr="00866BDF">
        <w:t xml:space="preserve"> </w:t>
      </w:r>
      <w:proofErr w:type="spellStart"/>
      <w:r w:rsidRPr="00866BDF">
        <w:t>Production</w:t>
      </w:r>
      <w:proofErr w:type="spellEnd"/>
      <w:r w:rsidRPr="00866BDF">
        <w:t xml:space="preserve"> of Durable Natural Fibre Components (ENDURE) koordineret af </w:t>
      </w:r>
      <w:proofErr w:type="spellStart"/>
      <w:r w:rsidRPr="00866BDF">
        <w:t>Sankhya</w:t>
      </w:r>
      <w:proofErr w:type="spellEnd"/>
      <w:r w:rsidRPr="00866BDF">
        <w:t xml:space="preserve"> </w:t>
      </w:r>
      <w:proofErr w:type="spellStart"/>
      <w:r w:rsidRPr="00866BDF">
        <w:t>Mohanty</w:t>
      </w:r>
      <w:proofErr w:type="spellEnd"/>
      <w:r w:rsidRPr="00866BDF">
        <w:t xml:space="preserve">, DTU </w:t>
      </w:r>
      <w:proofErr w:type="spellStart"/>
      <w:r w:rsidRPr="00866BDF">
        <w:t>Construct</w:t>
      </w:r>
      <w:proofErr w:type="spellEnd"/>
    </w:p>
    <w:p w14:paraId="6BC462C0" w14:textId="08571950" w:rsidR="00B82706" w:rsidRPr="00F13E87" w:rsidRDefault="00B82706" w:rsidP="00B82706">
      <w:pPr>
        <w:numPr>
          <w:ilvl w:val="0"/>
          <w:numId w:val="8"/>
        </w:numPr>
        <w:spacing w:line="288" w:lineRule="auto"/>
      </w:pPr>
      <w:r w:rsidRPr="00F13E87">
        <w:t xml:space="preserve">1 mio. </w:t>
      </w:r>
      <w:r w:rsidR="00C13AA7">
        <w:t>e</w:t>
      </w:r>
      <w:r w:rsidRPr="00F13E87">
        <w:t xml:space="preserve">uro (samlet budget 4,63 mio. </w:t>
      </w:r>
      <w:r w:rsidR="00FA31A4">
        <w:t>e</w:t>
      </w:r>
      <w:r w:rsidRPr="00F13E87">
        <w:t>uro) til projektet Grid-</w:t>
      </w:r>
      <w:proofErr w:type="spellStart"/>
      <w:r w:rsidRPr="00F13E87">
        <w:t>Scale</w:t>
      </w:r>
      <w:proofErr w:type="spellEnd"/>
      <w:r w:rsidRPr="00F13E87">
        <w:t xml:space="preserve"> Energy Storage: Imperatives for </w:t>
      </w:r>
      <w:proofErr w:type="spellStart"/>
      <w:r w:rsidRPr="00F13E87">
        <w:t>Accelerating</w:t>
      </w:r>
      <w:proofErr w:type="spellEnd"/>
      <w:r w:rsidRPr="00F13E87">
        <w:t xml:space="preserve"> the Green Transition (RESTORATIVE) koordineret af Ahmad </w:t>
      </w:r>
      <w:proofErr w:type="spellStart"/>
      <w:r w:rsidRPr="00F13E87">
        <w:t>Arabkoohsar</w:t>
      </w:r>
      <w:proofErr w:type="spellEnd"/>
      <w:r w:rsidRPr="00F13E87">
        <w:t xml:space="preserve">, </w:t>
      </w:r>
      <w:r w:rsidR="00375865">
        <w:t>p</w:t>
      </w:r>
      <w:r w:rsidRPr="00F13E87">
        <w:t xml:space="preserve">rofessor, DTU </w:t>
      </w:r>
      <w:proofErr w:type="spellStart"/>
      <w:r w:rsidRPr="00F13E87">
        <w:t>Construct</w:t>
      </w:r>
      <w:proofErr w:type="spellEnd"/>
    </w:p>
    <w:p w14:paraId="680D3E88" w14:textId="229AB89D" w:rsidR="00B82706" w:rsidRPr="00F13E87" w:rsidRDefault="00B82706" w:rsidP="00B82706">
      <w:pPr>
        <w:numPr>
          <w:ilvl w:val="0"/>
          <w:numId w:val="8"/>
        </w:numPr>
        <w:spacing w:line="288" w:lineRule="auto"/>
      </w:pPr>
      <w:r w:rsidRPr="00F13E87">
        <w:t xml:space="preserve">0,67 mio. </w:t>
      </w:r>
      <w:r w:rsidR="00C13AA7">
        <w:t>e</w:t>
      </w:r>
      <w:r w:rsidRPr="00F13E87">
        <w:t xml:space="preserve">uro (samlet budget 4,66 mio. </w:t>
      </w:r>
      <w:r w:rsidR="00FA31A4">
        <w:t>e</w:t>
      </w:r>
      <w:r w:rsidRPr="00F13E87">
        <w:t xml:space="preserve">uro) til projektet </w:t>
      </w:r>
      <w:proofErr w:type="spellStart"/>
      <w:r w:rsidRPr="00F13E87">
        <w:t>Neuromorphic</w:t>
      </w:r>
      <w:proofErr w:type="spellEnd"/>
      <w:r w:rsidRPr="00F13E87">
        <w:t xml:space="preserve"> </w:t>
      </w:r>
      <w:proofErr w:type="spellStart"/>
      <w:r w:rsidRPr="00F13E87">
        <w:t>computing</w:t>
      </w:r>
      <w:proofErr w:type="spellEnd"/>
      <w:r w:rsidRPr="00F13E87">
        <w:t xml:space="preserve"> and signal </w:t>
      </w:r>
      <w:proofErr w:type="spellStart"/>
      <w:r w:rsidRPr="00F13E87">
        <w:t>processing</w:t>
      </w:r>
      <w:proofErr w:type="spellEnd"/>
      <w:r w:rsidRPr="00F13E87">
        <w:t xml:space="preserve"> </w:t>
      </w:r>
      <w:proofErr w:type="spellStart"/>
      <w:r w:rsidRPr="00F13E87">
        <w:t>training</w:t>
      </w:r>
      <w:proofErr w:type="spellEnd"/>
      <w:r w:rsidRPr="00F13E87">
        <w:t xml:space="preserve"> </w:t>
      </w:r>
      <w:proofErr w:type="spellStart"/>
      <w:r w:rsidRPr="00F13E87">
        <w:t>network</w:t>
      </w:r>
      <w:proofErr w:type="spellEnd"/>
      <w:r w:rsidRPr="00F13E87">
        <w:t xml:space="preserve"> (</w:t>
      </w:r>
      <w:proofErr w:type="spellStart"/>
      <w:r w:rsidRPr="00F13E87">
        <w:t>MINDnet</w:t>
      </w:r>
      <w:proofErr w:type="spellEnd"/>
      <w:r w:rsidRPr="00F13E87">
        <w:t xml:space="preserve">) koordineret af Francesco Da Ros, </w:t>
      </w:r>
      <w:r w:rsidR="00375865">
        <w:t>l</w:t>
      </w:r>
      <w:r w:rsidRPr="00F13E87">
        <w:t xml:space="preserve">ektor, DTU </w:t>
      </w:r>
      <w:proofErr w:type="spellStart"/>
      <w:r w:rsidRPr="00F13E87">
        <w:t>Electro</w:t>
      </w:r>
      <w:proofErr w:type="spellEnd"/>
    </w:p>
    <w:p w14:paraId="5F24DF11" w14:textId="4F7640D8" w:rsidR="00B82706" w:rsidRPr="00F13E87" w:rsidRDefault="00B82706" w:rsidP="00B82706">
      <w:pPr>
        <w:numPr>
          <w:ilvl w:val="0"/>
          <w:numId w:val="8"/>
        </w:numPr>
        <w:spacing w:line="288" w:lineRule="auto"/>
      </w:pPr>
      <w:r w:rsidRPr="00F13E87">
        <w:t xml:space="preserve">1,68 mio. </w:t>
      </w:r>
      <w:r w:rsidR="00C13AA7">
        <w:t>e</w:t>
      </w:r>
      <w:r w:rsidRPr="00F13E87">
        <w:t xml:space="preserve">uro (samlet budget 4,31 mio. </w:t>
      </w:r>
      <w:r w:rsidR="00FA31A4">
        <w:t>e</w:t>
      </w:r>
      <w:r w:rsidRPr="00F13E87">
        <w:t xml:space="preserve">uro) til projektet </w:t>
      </w:r>
      <w:proofErr w:type="spellStart"/>
      <w:r w:rsidRPr="00F13E87">
        <w:t>Silicon</w:t>
      </w:r>
      <w:proofErr w:type="spellEnd"/>
      <w:r w:rsidRPr="00F13E87">
        <w:t xml:space="preserve"> </w:t>
      </w:r>
      <w:proofErr w:type="spellStart"/>
      <w:r w:rsidRPr="00F13E87">
        <w:t>carbide</w:t>
      </w:r>
      <w:proofErr w:type="spellEnd"/>
      <w:r w:rsidRPr="00F13E87">
        <w:t xml:space="preserve"> </w:t>
      </w:r>
      <w:proofErr w:type="spellStart"/>
      <w:r w:rsidRPr="00F13E87">
        <w:t>photonic</w:t>
      </w:r>
      <w:proofErr w:type="spellEnd"/>
      <w:r w:rsidRPr="00F13E87">
        <w:t xml:space="preserve"> </w:t>
      </w:r>
      <w:proofErr w:type="spellStart"/>
      <w:r w:rsidRPr="00F13E87">
        <w:t>integrated</w:t>
      </w:r>
      <w:proofErr w:type="spellEnd"/>
      <w:r w:rsidRPr="00F13E87">
        <w:t xml:space="preserve"> </w:t>
      </w:r>
      <w:proofErr w:type="spellStart"/>
      <w:r w:rsidRPr="00F13E87">
        <w:t>circuit</w:t>
      </w:r>
      <w:proofErr w:type="spellEnd"/>
      <w:r w:rsidRPr="00F13E87">
        <w:t xml:space="preserve"> </w:t>
      </w:r>
      <w:proofErr w:type="spellStart"/>
      <w:r w:rsidRPr="00F13E87">
        <w:t>training</w:t>
      </w:r>
      <w:proofErr w:type="spellEnd"/>
      <w:r w:rsidRPr="00F13E87">
        <w:t xml:space="preserve"> </w:t>
      </w:r>
      <w:proofErr w:type="spellStart"/>
      <w:r w:rsidRPr="00F13E87">
        <w:t>network</w:t>
      </w:r>
      <w:proofErr w:type="spellEnd"/>
      <w:r w:rsidRPr="00F13E87">
        <w:t xml:space="preserve"> (</w:t>
      </w:r>
      <w:proofErr w:type="spellStart"/>
      <w:r w:rsidRPr="00F13E87">
        <w:t>SiCPIC</w:t>
      </w:r>
      <w:proofErr w:type="spellEnd"/>
      <w:r w:rsidRPr="00F13E87">
        <w:t xml:space="preserve">) koordineret af </w:t>
      </w:r>
      <w:proofErr w:type="spellStart"/>
      <w:r w:rsidRPr="00F13E87">
        <w:t>Haiyan</w:t>
      </w:r>
      <w:proofErr w:type="spellEnd"/>
      <w:r w:rsidRPr="00F13E87">
        <w:t xml:space="preserve"> Ou, </w:t>
      </w:r>
      <w:r w:rsidR="00375865">
        <w:t>l</w:t>
      </w:r>
      <w:r w:rsidRPr="00F13E87">
        <w:t xml:space="preserve">ektor, DTU </w:t>
      </w:r>
      <w:proofErr w:type="spellStart"/>
      <w:r w:rsidRPr="00F13E87">
        <w:t>Electro</w:t>
      </w:r>
      <w:proofErr w:type="spellEnd"/>
    </w:p>
    <w:p w14:paraId="248E6C17" w14:textId="1A227E85" w:rsidR="00B82706" w:rsidRPr="00F13E87" w:rsidRDefault="00B82706" w:rsidP="00B82706">
      <w:pPr>
        <w:numPr>
          <w:ilvl w:val="0"/>
          <w:numId w:val="8"/>
        </w:numPr>
        <w:spacing w:line="288" w:lineRule="auto"/>
      </w:pPr>
      <w:r w:rsidRPr="00F13E87">
        <w:t xml:space="preserve">1 mio. </w:t>
      </w:r>
      <w:r w:rsidR="00C13AA7">
        <w:t>e</w:t>
      </w:r>
      <w:r w:rsidRPr="00F13E87">
        <w:t xml:space="preserve">uro (samlet budget 3,90 mio. </w:t>
      </w:r>
      <w:r w:rsidR="00FA31A4">
        <w:t>e</w:t>
      </w:r>
      <w:r w:rsidRPr="00F13E87">
        <w:t xml:space="preserve">uro) til projektet </w:t>
      </w:r>
      <w:proofErr w:type="spellStart"/>
      <w:r w:rsidRPr="00D378DD">
        <w:t>Micronutrients</w:t>
      </w:r>
      <w:proofErr w:type="spellEnd"/>
      <w:r w:rsidRPr="00D378DD">
        <w:t xml:space="preserve"> in </w:t>
      </w:r>
      <w:proofErr w:type="spellStart"/>
      <w:r w:rsidRPr="00D378DD">
        <w:t>sustainable</w:t>
      </w:r>
      <w:proofErr w:type="spellEnd"/>
      <w:r w:rsidRPr="00D378DD">
        <w:t xml:space="preserve"> and </w:t>
      </w:r>
      <w:proofErr w:type="spellStart"/>
      <w:r w:rsidRPr="00D378DD">
        <w:t>nutritious</w:t>
      </w:r>
      <w:proofErr w:type="spellEnd"/>
      <w:r w:rsidRPr="00D378DD">
        <w:t xml:space="preserve"> diet (MICROSUNSET)</w:t>
      </w:r>
      <w:r w:rsidRPr="00F13E87">
        <w:t xml:space="preserve"> koordineret af </w:t>
      </w:r>
      <w:r w:rsidRPr="00D378DD">
        <w:t xml:space="preserve">Jette Jacobsen, </w:t>
      </w:r>
      <w:r w:rsidR="00375865">
        <w:t>s</w:t>
      </w:r>
      <w:r w:rsidRPr="00F13E87">
        <w:t>eniorforsker, DTU Food</w:t>
      </w:r>
    </w:p>
    <w:p w14:paraId="06D56AD4" w14:textId="1588246F" w:rsidR="00B82706" w:rsidRPr="00F13E87" w:rsidRDefault="00B82706" w:rsidP="00B82706">
      <w:pPr>
        <w:numPr>
          <w:ilvl w:val="0"/>
          <w:numId w:val="8"/>
        </w:numPr>
        <w:spacing w:line="288" w:lineRule="auto"/>
      </w:pPr>
      <w:r w:rsidRPr="00F13E87">
        <w:t xml:space="preserve">1,34 mio. </w:t>
      </w:r>
      <w:r w:rsidR="00C13AA7">
        <w:t>e</w:t>
      </w:r>
      <w:r w:rsidRPr="00F13E87">
        <w:t xml:space="preserve">uro (samlet budget 4,66 mio. </w:t>
      </w:r>
      <w:r w:rsidR="00FA31A4">
        <w:t>e</w:t>
      </w:r>
      <w:r w:rsidRPr="00F13E87">
        <w:t xml:space="preserve">uro) til projektet Gamma Radiation from the Atmosphere for </w:t>
      </w:r>
      <w:proofErr w:type="spellStart"/>
      <w:r w:rsidRPr="00F13E87">
        <w:t>Investigation</w:t>
      </w:r>
      <w:proofErr w:type="spellEnd"/>
      <w:r w:rsidRPr="00F13E87">
        <w:t xml:space="preserve"> and Learning (GRAIL) koordineret af Christoph </w:t>
      </w:r>
      <w:proofErr w:type="spellStart"/>
      <w:r w:rsidRPr="00F13E87">
        <w:t>Köhn</w:t>
      </w:r>
      <w:proofErr w:type="spellEnd"/>
      <w:r w:rsidRPr="00F13E87">
        <w:t xml:space="preserve">, </w:t>
      </w:r>
      <w:r w:rsidR="00375865">
        <w:t>s</w:t>
      </w:r>
      <w:r w:rsidRPr="00F13E87">
        <w:t>eniorforsker, DTU Space</w:t>
      </w:r>
    </w:p>
    <w:p w14:paraId="2AA52602" w14:textId="77777777" w:rsidR="00B82706" w:rsidRDefault="00B82706" w:rsidP="00B82706">
      <w:pPr>
        <w:spacing w:line="288" w:lineRule="auto"/>
      </w:pPr>
    </w:p>
    <w:p w14:paraId="1661AF19" w14:textId="1FDC3A88" w:rsidR="003E34D0" w:rsidRDefault="003E34D0" w:rsidP="003E34D0">
      <w:pPr>
        <w:spacing w:line="288" w:lineRule="auto"/>
      </w:pPr>
      <w:r w:rsidRPr="00F13E87">
        <w:t>Danske universiteter har samlet set modtaget 12 koordinator-bevillinger i 2024-runden</w:t>
      </w:r>
      <w:r>
        <w:t>,</w:t>
      </w:r>
      <w:r w:rsidRPr="00F13E87">
        <w:t xml:space="preserve"> og DTU er det universitet i EU, der har modtaget flest koordinator-bevillinger.</w:t>
      </w:r>
      <w:r w:rsidR="004C4CC6">
        <w:t xml:space="preserve"> </w:t>
      </w:r>
      <w:r w:rsidRPr="00F13E87">
        <w:t xml:space="preserve">Ud over koordinator-bevillingerne deltager DTU som partner i 15 bevillinger. Samlet set svarer MSCA-DN bevillingerne til 16,5 mio. </w:t>
      </w:r>
      <w:r w:rsidR="00FA31A4">
        <w:t>e</w:t>
      </w:r>
      <w:r w:rsidRPr="00F13E87">
        <w:t>uro og 49 Ph.d.-studerende til DTU.</w:t>
      </w:r>
    </w:p>
    <w:p w14:paraId="798A3891" w14:textId="77777777" w:rsidR="006829B9" w:rsidRDefault="006829B9" w:rsidP="003E34D0">
      <w:pPr>
        <w:spacing w:line="288" w:lineRule="auto"/>
      </w:pPr>
    </w:p>
    <w:p w14:paraId="5E3D9F62" w14:textId="25D2D0A3" w:rsidR="006829B9" w:rsidRDefault="006829B9" w:rsidP="003E34D0">
      <w:pPr>
        <w:spacing w:line="288" w:lineRule="auto"/>
        <w:rPr>
          <w:i/>
          <w:iCs/>
        </w:rPr>
      </w:pPr>
      <w:r>
        <w:rPr>
          <w:i/>
          <w:iCs/>
        </w:rPr>
        <w:t>Status på EU-dagsordenen</w:t>
      </w:r>
    </w:p>
    <w:p w14:paraId="34811E3C" w14:textId="0E4D541D" w:rsidR="006829B9" w:rsidRPr="00C92AC8" w:rsidRDefault="006829B9" w:rsidP="006829B9">
      <w:pPr>
        <w:spacing w:line="288" w:lineRule="auto"/>
      </w:pPr>
      <w:r w:rsidRPr="00C92AC8">
        <w:t>Den 5. maj lancerede E</w:t>
      </w:r>
      <w:r w:rsidR="002E3871">
        <w:t>uropa</w:t>
      </w:r>
      <w:r w:rsidRPr="00C92AC8">
        <w:t xml:space="preserve">-Kommissionens formand Ursula von Der </w:t>
      </w:r>
      <w:proofErr w:type="spellStart"/>
      <w:r w:rsidRPr="00C92AC8">
        <w:t>Leyen</w:t>
      </w:r>
      <w:proofErr w:type="spellEnd"/>
      <w:r w:rsidRPr="00C92AC8">
        <w:t xml:space="preserve">, Frankrigs Præsident Emmanuel </w:t>
      </w:r>
      <w:proofErr w:type="spellStart"/>
      <w:r w:rsidRPr="00C92AC8">
        <w:t>Macron</w:t>
      </w:r>
      <w:proofErr w:type="spellEnd"/>
      <w:r w:rsidRPr="00C92AC8">
        <w:t xml:space="preserve"> samt EU </w:t>
      </w:r>
      <w:r w:rsidR="002E3871">
        <w:t>-</w:t>
      </w:r>
      <w:r w:rsidR="003E3C2C">
        <w:t>k</w:t>
      </w:r>
      <w:r w:rsidRPr="00C92AC8">
        <w:t xml:space="preserve">ommissær for </w:t>
      </w:r>
      <w:proofErr w:type="spellStart"/>
      <w:r w:rsidRPr="00C92AC8">
        <w:t>Start-ups</w:t>
      </w:r>
      <w:proofErr w:type="spellEnd"/>
      <w:r w:rsidRPr="00C92AC8">
        <w:t xml:space="preserve">, Forskning og Innovation Ekatarina </w:t>
      </w:r>
      <w:proofErr w:type="spellStart"/>
      <w:r w:rsidRPr="00C92AC8">
        <w:t>Zaharieva</w:t>
      </w:r>
      <w:proofErr w:type="spellEnd"/>
      <w:r w:rsidRPr="00C92AC8">
        <w:t xml:space="preserve"> kampagnen ”</w:t>
      </w:r>
      <w:proofErr w:type="spellStart"/>
      <w:r w:rsidRPr="00C92AC8">
        <w:t>Choose</w:t>
      </w:r>
      <w:proofErr w:type="spellEnd"/>
      <w:r w:rsidRPr="00C92AC8">
        <w:t xml:space="preserve"> Europe”. Kampagnen lancerer Europa som attraktiv forskningsregion med en hjemmeside over vilkår, fundingmuligheder samt aktuelle jobmuligheder. Kampagnen forsøger at fremhæve de positive aspekter af at kunne forske frit i Europa med henvisning til de aktuelle udfordringer, som </w:t>
      </w:r>
      <w:r w:rsidR="00AB74B3" w:rsidRPr="00C92AC8">
        <w:t>f.eks.</w:t>
      </w:r>
      <w:r w:rsidRPr="00C92AC8">
        <w:t xml:space="preserve"> forefindes i USA. Derudover blev et nyt instrument (et 7-årigt ERC Grant) lanceret samt et MSCA grant henvendt til yngre forskere uden for Europa. DTU var repræsenteret til arrangementet </w:t>
      </w:r>
      <w:r w:rsidR="002E3871">
        <w:t>med</w:t>
      </w:r>
      <w:r w:rsidRPr="00C92AC8">
        <w:t xml:space="preserve"> koncerndirektør Carsten Orth-Gaarn Larsen. </w:t>
      </w:r>
    </w:p>
    <w:p w14:paraId="0441FC65" w14:textId="77777777" w:rsidR="006829B9" w:rsidRDefault="006829B9" w:rsidP="003E34D0">
      <w:pPr>
        <w:spacing w:line="288" w:lineRule="auto"/>
      </w:pPr>
    </w:p>
    <w:p w14:paraId="43C81A27" w14:textId="78DB50E5" w:rsidR="006829B9" w:rsidRPr="006829B9" w:rsidRDefault="006829B9" w:rsidP="006829B9">
      <w:pPr>
        <w:spacing w:line="288" w:lineRule="auto"/>
      </w:pPr>
      <w:r w:rsidRPr="006829B9">
        <w:t>”</w:t>
      </w:r>
      <w:proofErr w:type="spellStart"/>
      <w:r w:rsidRPr="006829B9">
        <w:t>Choose</w:t>
      </w:r>
      <w:proofErr w:type="spellEnd"/>
      <w:r w:rsidRPr="006829B9">
        <w:t xml:space="preserve"> Europe” er første </w:t>
      </w:r>
      <w:r w:rsidR="00AB74B3" w:rsidRPr="006829B9">
        <w:t>signalgivning</w:t>
      </w:r>
      <w:r w:rsidRPr="006829B9">
        <w:t xml:space="preserve"> ift. det kommende flerårige budget fra EU (som vil gælde fra 2028 og frem). Udkastet til det flerårige budget – og derved også en kommende konkurrenceevnefond samt midler til forskning og innovation fra kommissionen – forventes i starten af det danske formandskab (primo juli 2025) og skal forhandles frem til slutningen af 2027. Der er i Bruxelles diskussioner vedr. et selvstændigt og indhegnet forsknings- og innovationsrammeprogram ift. at forsknings- og innovationsprogrammerne indgår direkte i en konkurrenceevnefond på linje med andre programmer såsom European </w:t>
      </w:r>
      <w:proofErr w:type="spellStart"/>
      <w:r w:rsidRPr="006829B9">
        <w:t>Defence</w:t>
      </w:r>
      <w:proofErr w:type="spellEnd"/>
      <w:r w:rsidRPr="006829B9">
        <w:t xml:space="preserve"> Fund, Digital Europe eller </w:t>
      </w:r>
      <w:proofErr w:type="spellStart"/>
      <w:r w:rsidRPr="006829B9">
        <w:t>InvestEU</w:t>
      </w:r>
      <w:proofErr w:type="spellEnd"/>
      <w:r w:rsidRPr="006829B9">
        <w:t xml:space="preserve">. </w:t>
      </w:r>
    </w:p>
    <w:p w14:paraId="6EA01458" w14:textId="77777777" w:rsidR="006829B9" w:rsidRPr="006829B9" w:rsidRDefault="006829B9" w:rsidP="006829B9">
      <w:pPr>
        <w:spacing w:line="288" w:lineRule="auto"/>
      </w:pPr>
    </w:p>
    <w:p w14:paraId="0E396D6E" w14:textId="1ED16D66" w:rsidR="006829B9" w:rsidRPr="006829B9" w:rsidRDefault="006829B9" w:rsidP="006829B9">
      <w:pPr>
        <w:spacing w:line="288" w:lineRule="auto"/>
      </w:pPr>
      <w:r w:rsidRPr="006829B9">
        <w:t>Derudover arbejder Europa</w:t>
      </w:r>
      <w:r w:rsidR="002E3871">
        <w:t>-</w:t>
      </w:r>
      <w:r w:rsidRPr="006829B9">
        <w:t>Kommissionen</w:t>
      </w:r>
      <w:r w:rsidR="001C5C24">
        <w:t xml:space="preserve"> </w:t>
      </w:r>
      <w:r w:rsidRPr="006829B9">
        <w:t xml:space="preserve">på en ”Startup and </w:t>
      </w:r>
      <w:proofErr w:type="spellStart"/>
      <w:r w:rsidRPr="006829B9">
        <w:t>Scaleup</w:t>
      </w:r>
      <w:proofErr w:type="spellEnd"/>
      <w:r w:rsidRPr="006829B9">
        <w:t xml:space="preserve"> </w:t>
      </w:r>
      <w:proofErr w:type="spellStart"/>
      <w:r w:rsidRPr="006829B9">
        <w:t>Strategy</w:t>
      </w:r>
      <w:proofErr w:type="spellEnd"/>
      <w:r w:rsidRPr="006829B9">
        <w:t>”, som har til formål at fremme et innovationsvenligt miljø, der gør det enklere og hurtigere for europæiske innovative startups at vokse og skalere. Strategien, forventes offentliggjort i slutningen maj måned</w:t>
      </w:r>
      <w:r w:rsidR="003E3C2C">
        <w:t xml:space="preserve"> og</w:t>
      </w:r>
      <w:r w:rsidR="00C13AA7">
        <w:t xml:space="preserve"> </w:t>
      </w:r>
      <w:r w:rsidRPr="006829B9">
        <w:t xml:space="preserve">skal adressere nogle af de væsentlige temaer fra </w:t>
      </w:r>
      <w:proofErr w:type="spellStart"/>
      <w:r w:rsidRPr="006829B9">
        <w:t>Draghi</w:t>
      </w:r>
      <w:proofErr w:type="spellEnd"/>
      <w:r w:rsidRPr="006829B9">
        <w:t>-rapporten – at styrke konkurrenceevnen og lukke innovationskløften. DTU er som e</w:t>
      </w:r>
      <w:r w:rsidR="001C5C24">
        <w:t>t</w:t>
      </w:r>
      <w:r w:rsidRPr="006829B9">
        <w:t xml:space="preserve"> af få universiteter repræsenteret i et </w:t>
      </w:r>
      <w:proofErr w:type="spellStart"/>
      <w:r w:rsidRPr="006829B9">
        <w:t>Start-up</w:t>
      </w:r>
      <w:proofErr w:type="spellEnd"/>
      <w:r w:rsidRPr="006829B9">
        <w:t xml:space="preserve"> and </w:t>
      </w:r>
      <w:proofErr w:type="spellStart"/>
      <w:r w:rsidRPr="006829B9">
        <w:t>Scale</w:t>
      </w:r>
      <w:proofErr w:type="spellEnd"/>
      <w:r w:rsidRPr="006829B9">
        <w:t xml:space="preserve"> Forum nedsat af </w:t>
      </w:r>
      <w:r w:rsidR="003E3C2C">
        <w:t>k</w:t>
      </w:r>
      <w:r w:rsidRPr="006829B9">
        <w:t xml:space="preserve">ommissæren for </w:t>
      </w:r>
      <w:proofErr w:type="spellStart"/>
      <w:r w:rsidRPr="006829B9">
        <w:t>Start-ups</w:t>
      </w:r>
      <w:proofErr w:type="spellEnd"/>
      <w:r w:rsidRPr="006829B9">
        <w:t xml:space="preserve">, Forskning og Innovation, Ekaterina </w:t>
      </w:r>
      <w:proofErr w:type="spellStart"/>
      <w:r w:rsidRPr="006829B9">
        <w:t>Zaharieva</w:t>
      </w:r>
      <w:proofErr w:type="spellEnd"/>
      <w:r w:rsidRPr="006829B9">
        <w:t xml:space="preserve">, </w:t>
      </w:r>
      <w:r w:rsidR="003E3C2C">
        <w:t>med</w:t>
      </w:r>
      <w:r w:rsidR="003E3C2C" w:rsidRPr="006829B9">
        <w:t xml:space="preserve"> </w:t>
      </w:r>
      <w:r w:rsidRPr="006829B9">
        <w:t xml:space="preserve">direktør for DTU </w:t>
      </w:r>
      <w:proofErr w:type="spellStart"/>
      <w:r w:rsidRPr="006829B9">
        <w:t>Skylab</w:t>
      </w:r>
      <w:proofErr w:type="spellEnd"/>
      <w:r w:rsidRPr="006829B9">
        <w:t xml:space="preserve">, Mikkel Sørensen. </w:t>
      </w:r>
    </w:p>
    <w:p w14:paraId="4C27D95F" w14:textId="77777777" w:rsidR="006829B9" w:rsidRPr="006829B9" w:rsidRDefault="006829B9" w:rsidP="006829B9">
      <w:pPr>
        <w:spacing w:line="288" w:lineRule="auto"/>
      </w:pPr>
    </w:p>
    <w:p w14:paraId="2FCAE522" w14:textId="77777777" w:rsidR="006829B9" w:rsidRPr="006829B9" w:rsidRDefault="006829B9" w:rsidP="006829B9">
      <w:pPr>
        <w:spacing w:line="288" w:lineRule="auto"/>
      </w:pPr>
      <w:r w:rsidRPr="006829B9">
        <w:t xml:space="preserve">Det er DTU’s ønske at have fokus på at synliggøre og styrke universiteternes vigtige rolle, når det kommer til </w:t>
      </w:r>
      <w:proofErr w:type="spellStart"/>
      <w:r w:rsidRPr="006829B9">
        <w:t>deeptech</w:t>
      </w:r>
      <w:proofErr w:type="spellEnd"/>
      <w:r w:rsidRPr="006829B9">
        <w:t xml:space="preserve"> startups; og her er der blevet arbejdet på at skabe et instrument/indsats, som kan forbinde og løfte excellente universitetstætte innovationsmiljøer til det næste niveau.</w:t>
      </w:r>
    </w:p>
    <w:p w14:paraId="43630B28" w14:textId="77777777" w:rsidR="006829B9" w:rsidRPr="006829B9" w:rsidRDefault="006829B9" w:rsidP="003E34D0">
      <w:pPr>
        <w:spacing w:line="288" w:lineRule="auto"/>
      </w:pPr>
    </w:p>
    <w:p w14:paraId="2C6ED865" w14:textId="4847D6C9" w:rsidR="003E34D0" w:rsidRDefault="007E705B" w:rsidP="00B82706">
      <w:pPr>
        <w:spacing w:line="288" w:lineRule="auto"/>
        <w:rPr>
          <w:i/>
          <w:iCs/>
        </w:rPr>
      </w:pPr>
      <w:r>
        <w:rPr>
          <w:i/>
          <w:iCs/>
        </w:rPr>
        <w:t xml:space="preserve">Årsfest på DTU </w:t>
      </w:r>
    </w:p>
    <w:p w14:paraId="4DA8AB79" w14:textId="0E7AD36C" w:rsidR="007E705B" w:rsidRDefault="007E705B" w:rsidP="00B82706">
      <w:pPr>
        <w:spacing w:line="288" w:lineRule="auto"/>
      </w:pPr>
      <w:r>
        <w:t xml:space="preserve">Dronning Mary deltog sammen med 1.400 studerende, medarbejdere, medlemmer af DTU’s bestyrelse, virksomhedsledere og universitetsrepræsentanter til Årsfesten 2025. Hendes Majestæt Dronningen overværede den akademiske højtidelighed, der bl.a. bød på prisoverrækkelser, en festforelæsning, fællessang og taler, og fandt sted i sportshallen på DTU Lyngby Campus. </w:t>
      </w:r>
    </w:p>
    <w:p w14:paraId="63F6B7E1" w14:textId="62839239" w:rsidR="007E705B" w:rsidRDefault="007E705B" w:rsidP="00B82706">
      <w:pPr>
        <w:spacing w:line="288" w:lineRule="auto"/>
      </w:pPr>
    </w:p>
    <w:p w14:paraId="446A09C9" w14:textId="1483348E" w:rsidR="004C4CC6" w:rsidRDefault="0042116E" w:rsidP="004C4CC6">
      <w:pPr>
        <w:spacing w:line="288" w:lineRule="auto"/>
      </w:pPr>
      <w:r>
        <w:rPr>
          <w:noProof/>
        </w:rPr>
        <mc:AlternateContent>
          <mc:Choice Requires="wps">
            <w:drawing>
              <wp:anchor distT="0" distB="0" distL="114300" distR="114300" simplePos="0" relativeHeight="251670528" behindDoc="0" locked="0" layoutInCell="1" allowOverlap="1" wp14:anchorId="52D2CFB9" wp14:editId="55B243E6">
                <wp:simplePos x="0" y="0"/>
                <wp:positionH relativeFrom="column">
                  <wp:posOffset>3961130</wp:posOffset>
                </wp:positionH>
                <wp:positionV relativeFrom="paragraph">
                  <wp:posOffset>1579245</wp:posOffset>
                </wp:positionV>
                <wp:extent cx="2667635" cy="635"/>
                <wp:effectExtent l="0" t="0" r="0" b="0"/>
                <wp:wrapSquare wrapText="bothSides"/>
                <wp:docPr id="1580898300" name="Text Box 1"/>
                <wp:cNvGraphicFramePr/>
                <a:graphic xmlns:a="http://schemas.openxmlformats.org/drawingml/2006/main">
                  <a:graphicData uri="http://schemas.microsoft.com/office/word/2010/wordprocessingShape">
                    <wps:wsp>
                      <wps:cNvSpPr txBox="1"/>
                      <wps:spPr>
                        <a:xfrm>
                          <a:off x="0" y="0"/>
                          <a:ext cx="2667635" cy="635"/>
                        </a:xfrm>
                        <a:prstGeom prst="rect">
                          <a:avLst/>
                        </a:prstGeom>
                        <a:solidFill>
                          <a:prstClr val="white"/>
                        </a:solidFill>
                        <a:ln>
                          <a:noFill/>
                        </a:ln>
                      </wps:spPr>
                      <wps:txbx>
                        <w:txbxContent>
                          <w:p w14:paraId="6651CF70" w14:textId="38A2FDB1" w:rsidR="0042116E" w:rsidRPr="00A12FDB" w:rsidRDefault="0042116E" w:rsidP="0042116E">
                            <w:pPr>
                              <w:pStyle w:val="Caption"/>
                              <w:rPr>
                                <w:noProof/>
                                <w:sz w:val="20"/>
                                <w:szCs w:val="20"/>
                              </w:rPr>
                            </w:pPr>
                            <w:r>
                              <w:t xml:space="preserve">Professor Kirsten Halsnæs fra DTU Management er modtager af DTU’s guldmedalje ved årsfesten 2025.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2D2CFB9" id="_x0000_t202" coordsize="21600,21600" o:spt="202" path="m,l,21600r21600,l21600,xe">
                <v:stroke joinstyle="miter"/>
                <v:path gradientshapeok="t" o:connecttype="rect"/>
              </v:shapetype>
              <v:shape id="Text Box 1" o:spid="_x0000_s1026" type="#_x0000_t202" style="position:absolute;margin-left:311.9pt;margin-top:124.35pt;width:210.05pt;height:.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" stroked="f">
                <v:textbox style="mso-fit-shape-to-text:t" inset="0,0,0,0">
                  <w:txbxContent>
                    <w:p w14:paraId="6651CF70" w14:textId="38A2FDB1" w:rsidR="0042116E" w:rsidRPr="00A12FDB" w:rsidRDefault="0042116E" w:rsidP="0042116E">
                      <w:pPr>
                        <w:pStyle w:val="Caption"/>
                        <w:rPr>
                          <w:noProof/>
                          <w:sz w:val="20"/>
                          <w:szCs w:val="20"/>
                        </w:rPr>
                      </w:pPr>
                      <w:r>
                        <w:t xml:space="preserve">Professor Kirsten Halsnæs fra DTU Management er modtager af DTU’s guldmedalje ved årsfesten 2025. </w:t>
                      </w:r>
                    </w:p>
                  </w:txbxContent>
                </v:textbox>
                <w10:wrap type="square"/>
              </v:shape>
            </w:pict>
          </mc:Fallback>
        </mc:AlternateContent>
      </w:r>
      <w:r>
        <w:rPr>
          <w:noProof/>
        </w:rPr>
        <w:drawing>
          <wp:anchor distT="0" distB="0" distL="114300" distR="114300" simplePos="0" relativeHeight="251668480" behindDoc="0" locked="0" layoutInCell="1" allowOverlap="1" wp14:anchorId="0856D55F" wp14:editId="55E27EA1">
            <wp:simplePos x="0" y="0"/>
            <wp:positionH relativeFrom="margin">
              <wp:posOffset>3961130</wp:posOffset>
            </wp:positionH>
            <wp:positionV relativeFrom="paragraph">
              <wp:posOffset>20955</wp:posOffset>
            </wp:positionV>
            <wp:extent cx="2667635" cy="1501140"/>
            <wp:effectExtent l="0" t="0" r="0" b="3810"/>
            <wp:wrapSquare wrapText="bothSides"/>
            <wp:docPr id="890311865" name="Picture 3" descr="A person and person standing at a podiu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311865" name="Picture 3" descr="A person and person standing at a podium&#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635" cy="1501140"/>
                    </a:xfrm>
                    <a:prstGeom prst="rect">
                      <a:avLst/>
                    </a:prstGeom>
                    <a:noFill/>
                    <a:ln>
                      <a:noFill/>
                    </a:ln>
                  </pic:spPr>
                </pic:pic>
              </a:graphicData>
            </a:graphic>
            <wp14:sizeRelH relativeFrom="page">
              <wp14:pctWidth>0</wp14:pctWidth>
            </wp14:sizeRelH>
            <wp14:sizeRelV relativeFrom="page">
              <wp14:pctHeight>0</wp14:pctHeight>
            </wp14:sizeRelV>
          </wp:anchor>
        </w:drawing>
      </w:r>
      <w:r w:rsidR="007E705B">
        <w:t>Efter den akademiske højtidelighed fulgte reception</w:t>
      </w:r>
      <w:r w:rsidR="003E3C2C">
        <w:t>er</w:t>
      </w:r>
      <w:r w:rsidR="007E705B">
        <w:t xml:space="preserve"> for henholdsvis rektoratet, direktionen og øvrige gæster. Dronningen deltog sammen med uddannelses- og forskningsminister</w:t>
      </w:r>
      <w:r w:rsidR="003E3C2C">
        <w:t xml:space="preserve"> Christina Egelund (M) </w:t>
      </w:r>
      <w:r w:rsidR="007E705B">
        <w:t>i rektoratets reception, hvor de hilste på årets prismodtagere. Blandt andet modtog professor Kirsten Halsnæs DTU’s guldmedalje, der gives til en, der har ydet en længerevarende indsats på det strategiske og ledelsesmæssige område samt styrket DTU’s position nationalt og internationalt. Kirsten Halsnæs er den mest benyttede danske forsker af FN’s Klimapanel og har i årevis været en markant stemme i klimadebatten både i forskningen og i medierne. Receptionen blev efterfulgt af en middag med ca. 2.900 spisende gæster. Aftenen sluttede med en stor fest og koncerter for ca. 4.000 deltagere.</w:t>
      </w:r>
      <w:r w:rsidR="007E705B" w:rsidRPr="00B54A76">
        <w:t xml:space="preserve"> </w:t>
      </w:r>
      <w:r w:rsidR="007E705B">
        <w:t xml:space="preserve"> </w:t>
      </w:r>
    </w:p>
    <w:p w14:paraId="68469B8B" w14:textId="77777777" w:rsidR="00BD3FBB" w:rsidRDefault="00BD3FBB" w:rsidP="00E47A09">
      <w:pPr>
        <w:rPr>
          <w:u w:val="single"/>
        </w:rPr>
      </w:pPr>
    </w:p>
    <w:p w14:paraId="1C2DD0BA" w14:textId="77777777" w:rsidR="00BD3FBB" w:rsidRDefault="00BD3FBB" w:rsidP="00E47A09">
      <w:pPr>
        <w:rPr>
          <w:u w:val="single"/>
        </w:rPr>
      </w:pPr>
    </w:p>
    <w:p w14:paraId="215452F7" w14:textId="77777777" w:rsidR="00BD3FBB" w:rsidRDefault="00BD3FBB" w:rsidP="00E47A09">
      <w:pPr>
        <w:rPr>
          <w:u w:val="single"/>
        </w:rPr>
      </w:pPr>
    </w:p>
    <w:p w14:paraId="78994E13" w14:textId="77777777" w:rsidR="00BD3FBB" w:rsidRDefault="00BD3FBB" w:rsidP="00E47A09">
      <w:pPr>
        <w:rPr>
          <w:u w:val="single"/>
        </w:rPr>
      </w:pPr>
    </w:p>
    <w:p w14:paraId="5BEE65B1" w14:textId="77777777" w:rsidR="00BD3FBB" w:rsidRDefault="00BD3FBB" w:rsidP="00E47A09">
      <w:pPr>
        <w:rPr>
          <w:u w:val="single"/>
        </w:rPr>
      </w:pPr>
    </w:p>
    <w:p w14:paraId="5B35FA0D" w14:textId="77777777" w:rsidR="00BD3FBB" w:rsidRDefault="00BD3FBB" w:rsidP="00E47A09">
      <w:pPr>
        <w:rPr>
          <w:u w:val="single"/>
        </w:rPr>
      </w:pPr>
    </w:p>
    <w:p w14:paraId="1E593083" w14:textId="77777777" w:rsidR="00BD3FBB" w:rsidRDefault="00BD3FBB" w:rsidP="00E47A09">
      <w:pPr>
        <w:rPr>
          <w:u w:val="single"/>
        </w:rPr>
      </w:pPr>
    </w:p>
    <w:p w14:paraId="432FDD51" w14:textId="77777777" w:rsidR="00BD3FBB" w:rsidRDefault="00BD3FBB" w:rsidP="00E47A09">
      <w:pPr>
        <w:rPr>
          <w:u w:val="single"/>
        </w:rPr>
      </w:pPr>
    </w:p>
    <w:p w14:paraId="21935A98" w14:textId="77777777" w:rsidR="00BD3FBB" w:rsidRDefault="00BD3FBB" w:rsidP="00E47A09">
      <w:pPr>
        <w:rPr>
          <w:u w:val="single"/>
        </w:rPr>
      </w:pPr>
    </w:p>
    <w:p w14:paraId="0A04FAEA" w14:textId="77777777" w:rsidR="00BD3FBB" w:rsidRDefault="00BD3FBB" w:rsidP="00E47A09">
      <w:pPr>
        <w:rPr>
          <w:u w:val="single"/>
        </w:rPr>
      </w:pPr>
    </w:p>
    <w:p w14:paraId="22624C5A" w14:textId="77777777" w:rsidR="00BD3FBB" w:rsidRDefault="00BD3FBB" w:rsidP="00E47A09">
      <w:pPr>
        <w:rPr>
          <w:u w:val="single"/>
        </w:rPr>
      </w:pPr>
    </w:p>
    <w:p w14:paraId="1DE36FEF" w14:textId="77777777" w:rsidR="00BD3FBB" w:rsidRDefault="00BD3FBB" w:rsidP="00E47A09">
      <w:pPr>
        <w:rPr>
          <w:u w:val="single"/>
        </w:rPr>
      </w:pPr>
    </w:p>
    <w:p w14:paraId="607F3A86" w14:textId="77777777" w:rsidR="00BD3FBB" w:rsidRDefault="00BD3FBB" w:rsidP="00E47A09">
      <w:pPr>
        <w:rPr>
          <w:u w:val="single"/>
        </w:rPr>
      </w:pPr>
    </w:p>
    <w:p w14:paraId="52583205" w14:textId="77777777" w:rsidR="00BD3FBB" w:rsidRDefault="00BD3FBB" w:rsidP="00E47A09">
      <w:pPr>
        <w:rPr>
          <w:u w:val="single"/>
        </w:rPr>
      </w:pPr>
    </w:p>
    <w:p w14:paraId="082EFC1A" w14:textId="77777777" w:rsidR="00BD3FBB" w:rsidRDefault="00BD3FBB" w:rsidP="00E47A09">
      <w:pPr>
        <w:rPr>
          <w:u w:val="single"/>
        </w:rPr>
      </w:pPr>
    </w:p>
    <w:p w14:paraId="06195608" w14:textId="77777777" w:rsidR="00BD3FBB" w:rsidRDefault="00BD3FBB" w:rsidP="00E47A09">
      <w:pPr>
        <w:rPr>
          <w:u w:val="single"/>
        </w:rPr>
      </w:pPr>
    </w:p>
    <w:p w14:paraId="2A4F3703" w14:textId="77777777" w:rsidR="00BD3FBB" w:rsidRDefault="00BD3FBB" w:rsidP="00E47A09">
      <w:pPr>
        <w:rPr>
          <w:u w:val="single"/>
        </w:rPr>
      </w:pPr>
    </w:p>
    <w:p w14:paraId="488AF8CE" w14:textId="3F404D0D" w:rsidR="005E1C9A" w:rsidRPr="00872586" w:rsidRDefault="005E1C9A" w:rsidP="00E47A09">
      <w:pPr>
        <w:rPr>
          <w:u w:val="single"/>
        </w:rPr>
      </w:pPr>
      <w:r w:rsidRPr="00872586">
        <w:rPr>
          <w:u w:val="single"/>
        </w:rPr>
        <w:t>Bilag</w:t>
      </w:r>
    </w:p>
    <w:p w14:paraId="1677DB64" w14:textId="03752FB4" w:rsidR="00E47A09" w:rsidRDefault="00872586" w:rsidP="00E47A09">
      <w:pPr>
        <w:pStyle w:val="ListParagraph"/>
        <w:numPr>
          <w:ilvl w:val="0"/>
          <w:numId w:val="3"/>
        </w:numPr>
      </w:pPr>
      <w:r>
        <w:t>DTU’s Diversitetsrapport 202</w:t>
      </w:r>
      <w:r w:rsidR="00437100">
        <w:t>4</w:t>
      </w:r>
    </w:p>
    <w:p w14:paraId="23767195" w14:textId="5B739DC3" w:rsidR="003E3C2C" w:rsidRPr="00E47A09" w:rsidRDefault="003E3C2C" w:rsidP="00E47A09">
      <w:pPr>
        <w:pStyle w:val="ListParagraph"/>
        <w:numPr>
          <w:ilvl w:val="0"/>
          <w:numId w:val="3"/>
        </w:numPr>
      </w:pPr>
      <w:r>
        <w:lastRenderedPageBreak/>
        <w:t xml:space="preserve">Afrapportering på Europas bedste ingeniøruddannelse </w:t>
      </w:r>
    </w:p>
    <w:sectPr w:rsidR="003E3C2C" w:rsidRPr="00E47A09" w:rsidSect="00AB376D">
      <w:headerReference w:type="default" r:id="rId11"/>
      <w:footerReference w:type="default" r:id="rId12"/>
      <w:pgSz w:w="12240" w:h="15840"/>
      <w:pgMar w:top="2211"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5070A" w14:textId="77777777" w:rsidR="0022290D" w:rsidRDefault="0022290D" w:rsidP="00AB376D">
      <w:pPr>
        <w:spacing w:line="240" w:lineRule="auto"/>
      </w:pPr>
      <w:r>
        <w:separator/>
      </w:r>
    </w:p>
  </w:endnote>
  <w:endnote w:type="continuationSeparator" w:id="0">
    <w:p w14:paraId="18B2BB46" w14:textId="77777777" w:rsidR="0022290D" w:rsidRDefault="0022290D" w:rsidP="00AB37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336204"/>
      <w:docPartObj>
        <w:docPartGallery w:val="Page Numbers (Bottom of Page)"/>
        <w:docPartUnique/>
      </w:docPartObj>
    </w:sdtPr>
    <w:sdtEndPr/>
    <w:sdtContent>
      <w:p w14:paraId="70A9E201" w14:textId="77777777" w:rsidR="00C12955" w:rsidRDefault="00C12955">
        <w:pPr>
          <w:pStyle w:val="Footer"/>
          <w:jc w:val="right"/>
        </w:pPr>
        <w:r>
          <w:fldChar w:fldCharType="begin"/>
        </w:r>
        <w:r>
          <w:instrText>PAGE   \* MERGEFORMAT</w:instrText>
        </w:r>
        <w:r>
          <w:fldChar w:fldCharType="separate"/>
        </w:r>
        <w:r w:rsidR="003C65AA">
          <w:rPr>
            <w:noProof/>
          </w:rPr>
          <w:t>1</w:t>
        </w:r>
        <w:r>
          <w:fldChar w:fldCharType="end"/>
        </w:r>
      </w:p>
    </w:sdtContent>
  </w:sdt>
  <w:p w14:paraId="40503314" w14:textId="77777777" w:rsidR="00C12955" w:rsidRDefault="00C12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73B62" w14:textId="77777777" w:rsidR="0022290D" w:rsidRDefault="0022290D" w:rsidP="00AB376D">
      <w:pPr>
        <w:spacing w:line="240" w:lineRule="auto"/>
      </w:pPr>
      <w:r>
        <w:separator/>
      </w:r>
    </w:p>
  </w:footnote>
  <w:footnote w:type="continuationSeparator" w:id="0">
    <w:p w14:paraId="1BA5A5DC" w14:textId="77777777" w:rsidR="0022290D" w:rsidRDefault="0022290D" w:rsidP="00AB37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BC487" w14:textId="77777777" w:rsidR="00AB376D" w:rsidRDefault="00AB376D">
    <w:pPr>
      <w:pStyle w:val="Header"/>
    </w:pPr>
    <w:r>
      <w:rPr>
        <w:noProof/>
        <w:lang w:eastAsia="da-DK"/>
      </w:rPr>
      <w:drawing>
        <wp:anchor distT="0" distB="0" distL="0" distR="0" simplePos="0" relativeHeight="251659264" behindDoc="0" locked="0" layoutInCell="1" allowOverlap="1" wp14:anchorId="6A50CBD3" wp14:editId="38A83DDC">
          <wp:simplePos x="0" y="0"/>
          <wp:positionH relativeFrom="page">
            <wp:posOffset>882015</wp:posOffset>
          </wp:positionH>
          <wp:positionV relativeFrom="page">
            <wp:posOffset>431800</wp:posOffset>
          </wp:positionV>
          <wp:extent cx="435600" cy="630000"/>
          <wp:effectExtent l="0" t="0" r="3175" b="0"/>
          <wp:wrapNone/>
          <wp:docPr id="2145098418" name="Logo_Hide1"/>
          <wp:cNvGraphicFramePr/>
          <a:graphic xmlns:a="http://schemas.openxmlformats.org/drawingml/2006/main">
            <a:graphicData uri="http://schemas.openxmlformats.org/drawingml/2006/picture">
              <pic:pic xmlns:pic="http://schemas.openxmlformats.org/drawingml/2006/picture">
                <pic:nvPicPr>
                  <pic:cNvPr id="2145098418" name="Logo_Hide1"/>
                  <pic:cNvPicPr/>
                </pic:nvPicPr>
                <pic:blipFill>
                  <a:blip r:embed="rId1"/>
                  <a:srcRect/>
                  <a:stretch/>
                </pic:blipFill>
                <pic:spPr>
                  <a:xfrm>
                    <a:off x="0" y="0"/>
                    <a:ext cx="435600" cy="63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1307B"/>
    <w:multiLevelType w:val="hybridMultilevel"/>
    <w:tmpl w:val="10AACB3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3DD2B0D"/>
    <w:multiLevelType w:val="multilevel"/>
    <w:tmpl w:val="739C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006FB"/>
    <w:multiLevelType w:val="hybridMultilevel"/>
    <w:tmpl w:val="E4DE990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9FF70E4"/>
    <w:multiLevelType w:val="hybridMultilevel"/>
    <w:tmpl w:val="020618F4"/>
    <w:lvl w:ilvl="0" w:tplc="0A5815C2">
      <w:start w:val="671"/>
      <w:numFmt w:val="bullet"/>
      <w:lvlText w:val="-"/>
      <w:lvlJc w:val="left"/>
      <w:pPr>
        <w:ind w:left="360" w:hanging="360"/>
      </w:pPr>
      <w:rPr>
        <w:rFonts w:ascii="Aptos" w:eastAsia="Aptos" w:hAnsi="Aptos" w:cs="Times New Roman"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4" w15:restartNumberingAfterBreak="0">
    <w:nsid w:val="219F089F"/>
    <w:multiLevelType w:val="multilevel"/>
    <w:tmpl w:val="AE2413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48B2369"/>
    <w:multiLevelType w:val="hybridMultilevel"/>
    <w:tmpl w:val="01D216E2"/>
    <w:lvl w:ilvl="0" w:tplc="25161646">
      <w:numFmt w:val="bullet"/>
      <w:lvlText w:val="-"/>
      <w:lvlJc w:val="left"/>
      <w:pPr>
        <w:ind w:left="360" w:hanging="360"/>
      </w:pPr>
      <w:rPr>
        <w:rFonts w:ascii="Arial" w:eastAsia="Times New Roman"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374A544F"/>
    <w:multiLevelType w:val="multilevel"/>
    <w:tmpl w:val="6B02A6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44357318"/>
    <w:multiLevelType w:val="hybridMultilevel"/>
    <w:tmpl w:val="785839D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4AEC0919"/>
    <w:multiLevelType w:val="multilevel"/>
    <w:tmpl w:val="2B52496C"/>
    <w:lvl w:ilvl="0">
      <w:start w:val="1"/>
      <w:numFmt w:val="bullet"/>
      <w:lvlText w:val=""/>
      <w:lvlJc w:val="left"/>
      <w:pPr>
        <w:tabs>
          <w:tab w:val="num" w:pos="1100"/>
        </w:tabs>
        <w:ind w:left="1100" w:hanging="360"/>
      </w:pPr>
      <w:rPr>
        <w:rFonts w:ascii="Symbol" w:hAnsi="Symbol" w:hint="default"/>
        <w:sz w:val="20"/>
      </w:rPr>
    </w:lvl>
    <w:lvl w:ilvl="1" w:tentative="1">
      <w:start w:val="1"/>
      <w:numFmt w:val="bullet"/>
      <w:lvlText w:val=""/>
      <w:lvlJc w:val="left"/>
      <w:pPr>
        <w:tabs>
          <w:tab w:val="num" w:pos="1820"/>
        </w:tabs>
        <w:ind w:left="1820" w:hanging="360"/>
      </w:pPr>
      <w:rPr>
        <w:rFonts w:ascii="Symbol" w:hAnsi="Symbol" w:hint="default"/>
        <w:sz w:val="20"/>
      </w:rPr>
    </w:lvl>
    <w:lvl w:ilvl="2" w:tentative="1">
      <w:start w:val="1"/>
      <w:numFmt w:val="bullet"/>
      <w:lvlText w:val=""/>
      <w:lvlJc w:val="left"/>
      <w:pPr>
        <w:tabs>
          <w:tab w:val="num" w:pos="2540"/>
        </w:tabs>
        <w:ind w:left="2540" w:hanging="360"/>
      </w:pPr>
      <w:rPr>
        <w:rFonts w:ascii="Symbol" w:hAnsi="Symbol" w:hint="default"/>
        <w:sz w:val="20"/>
      </w:rPr>
    </w:lvl>
    <w:lvl w:ilvl="3" w:tentative="1">
      <w:start w:val="1"/>
      <w:numFmt w:val="bullet"/>
      <w:lvlText w:val=""/>
      <w:lvlJc w:val="left"/>
      <w:pPr>
        <w:tabs>
          <w:tab w:val="num" w:pos="3260"/>
        </w:tabs>
        <w:ind w:left="3260" w:hanging="360"/>
      </w:pPr>
      <w:rPr>
        <w:rFonts w:ascii="Symbol" w:hAnsi="Symbol" w:hint="default"/>
        <w:sz w:val="20"/>
      </w:rPr>
    </w:lvl>
    <w:lvl w:ilvl="4" w:tentative="1">
      <w:start w:val="1"/>
      <w:numFmt w:val="bullet"/>
      <w:lvlText w:val=""/>
      <w:lvlJc w:val="left"/>
      <w:pPr>
        <w:tabs>
          <w:tab w:val="num" w:pos="3980"/>
        </w:tabs>
        <w:ind w:left="3980" w:hanging="360"/>
      </w:pPr>
      <w:rPr>
        <w:rFonts w:ascii="Symbol" w:hAnsi="Symbol" w:hint="default"/>
        <w:sz w:val="20"/>
      </w:rPr>
    </w:lvl>
    <w:lvl w:ilvl="5" w:tentative="1">
      <w:start w:val="1"/>
      <w:numFmt w:val="bullet"/>
      <w:lvlText w:val=""/>
      <w:lvlJc w:val="left"/>
      <w:pPr>
        <w:tabs>
          <w:tab w:val="num" w:pos="4700"/>
        </w:tabs>
        <w:ind w:left="4700" w:hanging="360"/>
      </w:pPr>
      <w:rPr>
        <w:rFonts w:ascii="Symbol" w:hAnsi="Symbol" w:hint="default"/>
        <w:sz w:val="20"/>
      </w:rPr>
    </w:lvl>
    <w:lvl w:ilvl="6" w:tentative="1">
      <w:start w:val="1"/>
      <w:numFmt w:val="bullet"/>
      <w:lvlText w:val=""/>
      <w:lvlJc w:val="left"/>
      <w:pPr>
        <w:tabs>
          <w:tab w:val="num" w:pos="5420"/>
        </w:tabs>
        <w:ind w:left="5420" w:hanging="360"/>
      </w:pPr>
      <w:rPr>
        <w:rFonts w:ascii="Symbol" w:hAnsi="Symbol" w:hint="default"/>
        <w:sz w:val="20"/>
      </w:rPr>
    </w:lvl>
    <w:lvl w:ilvl="7" w:tentative="1">
      <w:start w:val="1"/>
      <w:numFmt w:val="bullet"/>
      <w:lvlText w:val=""/>
      <w:lvlJc w:val="left"/>
      <w:pPr>
        <w:tabs>
          <w:tab w:val="num" w:pos="6140"/>
        </w:tabs>
        <w:ind w:left="6140" w:hanging="360"/>
      </w:pPr>
      <w:rPr>
        <w:rFonts w:ascii="Symbol" w:hAnsi="Symbol" w:hint="default"/>
        <w:sz w:val="20"/>
      </w:rPr>
    </w:lvl>
    <w:lvl w:ilvl="8" w:tentative="1">
      <w:start w:val="1"/>
      <w:numFmt w:val="bullet"/>
      <w:lvlText w:val=""/>
      <w:lvlJc w:val="left"/>
      <w:pPr>
        <w:tabs>
          <w:tab w:val="num" w:pos="6860"/>
        </w:tabs>
        <w:ind w:left="6860" w:hanging="360"/>
      </w:pPr>
      <w:rPr>
        <w:rFonts w:ascii="Symbol" w:hAnsi="Symbol" w:hint="default"/>
        <w:sz w:val="20"/>
      </w:rPr>
    </w:lvl>
  </w:abstractNum>
  <w:abstractNum w:abstractNumId="9" w15:restartNumberingAfterBreak="0">
    <w:nsid w:val="51045F32"/>
    <w:multiLevelType w:val="hybridMultilevel"/>
    <w:tmpl w:val="2206A386"/>
    <w:lvl w:ilvl="0" w:tplc="107003FC">
      <w:numFmt w:val="bullet"/>
      <w:lvlText w:val="-"/>
      <w:lvlJc w:val="left"/>
      <w:pPr>
        <w:ind w:left="360" w:hanging="360"/>
      </w:pPr>
      <w:rPr>
        <w:rFonts w:ascii="Calibri" w:eastAsiaTheme="minorHAnsi" w:hAnsi="Calibri" w:cs="Calibri"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0" w15:restartNumberingAfterBreak="0">
    <w:nsid w:val="5F9B15DC"/>
    <w:multiLevelType w:val="hybridMultilevel"/>
    <w:tmpl w:val="2708E83C"/>
    <w:lvl w:ilvl="0" w:tplc="A2FAE216">
      <w:start w:val="4"/>
      <w:numFmt w:val="bullet"/>
      <w:lvlText w:val="-"/>
      <w:lvlJc w:val="left"/>
      <w:pPr>
        <w:ind w:left="360" w:hanging="360"/>
      </w:pPr>
      <w:rPr>
        <w:rFonts w:ascii="Arial" w:eastAsiaTheme="minorHAnsi"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77803322"/>
    <w:multiLevelType w:val="hybridMultilevel"/>
    <w:tmpl w:val="B2EEE68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30995381">
    <w:abstractNumId w:val="11"/>
  </w:num>
  <w:num w:numId="2" w16cid:durableId="1141384362">
    <w:abstractNumId w:val="2"/>
  </w:num>
  <w:num w:numId="3" w16cid:durableId="18551206">
    <w:abstractNumId w:val="0"/>
  </w:num>
  <w:num w:numId="4" w16cid:durableId="1559199040">
    <w:abstractNumId w:val="7"/>
  </w:num>
  <w:num w:numId="5" w16cid:durableId="376048695">
    <w:abstractNumId w:val="10"/>
  </w:num>
  <w:num w:numId="6" w16cid:durableId="803961849">
    <w:abstractNumId w:val="9"/>
  </w:num>
  <w:num w:numId="7" w16cid:durableId="410279525">
    <w:abstractNumId w:val="5"/>
  </w:num>
  <w:num w:numId="8" w16cid:durableId="754597534">
    <w:abstractNumId w:val="3"/>
  </w:num>
  <w:num w:numId="9" w16cid:durableId="436218650">
    <w:abstractNumId w:val="1"/>
  </w:num>
  <w:num w:numId="10" w16cid:durableId="1823739613">
    <w:abstractNumId w:val="4"/>
  </w:num>
  <w:num w:numId="11" w16cid:durableId="1149591575">
    <w:abstractNumId w:val="8"/>
  </w:num>
  <w:num w:numId="12" w16cid:durableId="8290971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955"/>
    <w:rsid w:val="000714AF"/>
    <w:rsid w:val="000A503A"/>
    <w:rsid w:val="000C182A"/>
    <w:rsid w:val="000C1878"/>
    <w:rsid w:val="00101C7A"/>
    <w:rsid w:val="001100DF"/>
    <w:rsid w:val="001134A6"/>
    <w:rsid w:val="001407CF"/>
    <w:rsid w:val="00145AC0"/>
    <w:rsid w:val="00191935"/>
    <w:rsid w:val="001A2544"/>
    <w:rsid w:val="001B0CED"/>
    <w:rsid w:val="001C0E5A"/>
    <w:rsid w:val="001C5C24"/>
    <w:rsid w:val="001C7F6A"/>
    <w:rsid w:val="001F03FB"/>
    <w:rsid w:val="001F6DAC"/>
    <w:rsid w:val="0022290D"/>
    <w:rsid w:val="002260D5"/>
    <w:rsid w:val="002346BF"/>
    <w:rsid w:val="00251F1D"/>
    <w:rsid w:val="0025304B"/>
    <w:rsid w:val="00255D00"/>
    <w:rsid w:val="00263E92"/>
    <w:rsid w:val="00271245"/>
    <w:rsid w:val="00294FCA"/>
    <w:rsid w:val="002968AD"/>
    <w:rsid w:val="002D6111"/>
    <w:rsid w:val="002E3871"/>
    <w:rsid w:val="00337FCE"/>
    <w:rsid w:val="00375865"/>
    <w:rsid w:val="0038126F"/>
    <w:rsid w:val="003834B2"/>
    <w:rsid w:val="00397623"/>
    <w:rsid w:val="003A5860"/>
    <w:rsid w:val="003A7A9E"/>
    <w:rsid w:val="003A7DD7"/>
    <w:rsid w:val="003C65AA"/>
    <w:rsid w:val="003E0BC4"/>
    <w:rsid w:val="003E34D0"/>
    <w:rsid w:val="003E3C2C"/>
    <w:rsid w:val="0042116E"/>
    <w:rsid w:val="00437100"/>
    <w:rsid w:val="004549A6"/>
    <w:rsid w:val="0047590A"/>
    <w:rsid w:val="00476364"/>
    <w:rsid w:val="004769E0"/>
    <w:rsid w:val="004A0C9F"/>
    <w:rsid w:val="004C4CC6"/>
    <w:rsid w:val="0055649D"/>
    <w:rsid w:val="00596EA2"/>
    <w:rsid w:val="005A40D3"/>
    <w:rsid w:val="005B1660"/>
    <w:rsid w:val="005C7753"/>
    <w:rsid w:val="005E05B0"/>
    <w:rsid w:val="005E0F5A"/>
    <w:rsid w:val="005E1C9A"/>
    <w:rsid w:val="005E7712"/>
    <w:rsid w:val="006106C7"/>
    <w:rsid w:val="00650188"/>
    <w:rsid w:val="006829B9"/>
    <w:rsid w:val="00684C74"/>
    <w:rsid w:val="007549BF"/>
    <w:rsid w:val="0075788D"/>
    <w:rsid w:val="00776CEB"/>
    <w:rsid w:val="007A2C67"/>
    <w:rsid w:val="007C2073"/>
    <w:rsid w:val="007E5495"/>
    <w:rsid w:val="007E705B"/>
    <w:rsid w:val="007F7D1E"/>
    <w:rsid w:val="00866BDF"/>
    <w:rsid w:val="00872586"/>
    <w:rsid w:val="00877318"/>
    <w:rsid w:val="00893C9F"/>
    <w:rsid w:val="008E08F1"/>
    <w:rsid w:val="008F1C6C"/>
    <w:rsid w:val="008F1EB3"/>
    <w:rsid w:val="009C1169"/>
    <w:rsid w:val="00A11584"/>
    <w:rsid w:val="00A54159"/>
    <w:rsid w:val="00A63B80"/>
    <w:rsid w:val="00AB376D"/>
    <w:rsid w:val="00AB74B3"/>
    <w:rsid w:val="00AD459E"/>
    <w:rsid w:val="00AD6589"/>
    <w:rsid w:val="00AE3CD8"/>
    <w:rsid w:val="00AF3F86"/>
    <w:rsid w:val="00AF5045"/>
    <w:rsid w:val="00B055C0"/>
    <w:rsid w:val="00B3007A"/>
    <w:rsid w:val="00B32002"/>
    <w:rsid w:val="00B3569D"/>
    <w:rsid w:val="00B3740F"/>
    <w:rsid w:val="00B544E7"/>
    <w:rsid w:val="00B54A76"/>
    <w:rsid w:val="00B65FD6"/>
    <w:rsid w:val="00B733B6"/>
    <w:rsid w:val="00B82706"/>
    <w:rsid w:val="00B910CB"/>
    <w:rsid w:val="00BA29DC"/>
    <w:rsid w:val="00BD3FBB"/>
    <w:rsid w:val="00BE2DE9"/>
    <w:rsid w:val="00C12955"/>
    <w:rsid w:val="00C13550"/>
    <w:rsid w:val="00C13AA7"/>
    <w:rsid w:val="00C53105"/>
    <w:rsid w:val="00CA6097"/>
    <w:rsid w:val="00CB19D3"/>
    <w:rsid w:val="00CF1719"/>
    <w:rsid w:val="00CF76DD"/>
    <w:rsid w:val="00D21F8A"/>
    <w:rsid w:val="00D8103D"/>
    <w:rsid w:val="00D835C3"/>
    <w:rsid w:val="00D9291A"/>
    <w:rsid w:val="00E11655"/>
    <w:rsid w:val="00E22147"/>
    <w:rsid w:val="00E2529D"/>
    <w:rsid w:val="00E31E3D"/>
    <w:rsid w:val="00E47A09"/>
    <w:rsid w:val="00E75B15"/>
    <w:rsid w:val="00EB5306"/>
    <w:rsid w:val="00F722EA"/>
    <w:rsid w:val="00F8436E"/>
    <w:rsid w:val="00FA31A4"/>
    <w:rsid w:val="00FB5779"/>
    <w:rsid w:val="00FD2BD5"/>
    <w:rsid w:val="00FE4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F1EDA"/>
  <w15:chartTrackingRefBased/>
  <w15:docId w15:val="{FF40030A-1557-491B-B2BD-4CD6D5804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955"/>
    <w:pPr>
      <w:spacing w:after="0" w:line="280" w:lineRule="atLeast"/>
    </w:pPr>
    <w:rPr>
      <w:rFonts w:ascii="Arial" w:hAnsi="Arial" w:cs="Verdana"/>
      <w:sz w:val="20"/>
      <w:szCs w:val="20"/>
      <w:lang w:val="da-DK"/>
    </w:rPr>
  </w:style>
  <w:style w:type="paragraph" w:styleId="Heading1">
    <w:name w:val="heading 1"/>
    <w:basedOn w:val="Normal"/>
    <w:next w:val="Normal"/>
    <w:link w:val="Heading1Char"/>
    <w:uiPriority w:val="9"/>
    <w:qFormat/>
    <w:rsid w:val="00C1295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31E3D"/>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76D"/>
    <w:pPr>
      <w:tabs>
        <w:tab w:val="center" w:pos="4513"/>
        <w:tab w:val="right" w:pos="9026"/>
      </w:tabs>
      <w:spacing w:line="240" w:lineRule="auto"/>
    </w:pPr>
  </w:style>
  <w:style w:type="character" w:customStyle="1" w:styleId="HeaderChar">
    <w:name w:val="Header Char"/>
    <w:basedOn w:val="DefaultParagraphFont"/>
    <w:link w:val="Header"/>
    <w:uiPriority w:val="99"/>
    <w:rsid w:val="00AB376D"/>
  </w:style>
  <w:style w:type="paragraph" w:styleId="Footer">
    <w:name w:val="footer"/>
    <w:basedOn w:val="Normal"/>
    <w:link w:val="FooterChar"/>
    <w:uiPriority w:val="99"/>
    <w:unhideWhenUsed/>
    <w:rsid w:val="00AB376D"/>
    <w:pPr>
      <w:tabs>
        <w:tab w:val="center" w:pos="4513"/>
        <w:tab w:val="right" w:pos="9026"/>
      </w:tabs>
      <w:spacing w:line="240" w:lineRule="auto"/>
    </w:pPr>
  </w:style>
  <w:style w:type="character" w:customStyle="1" w:styleId="FooterChar">
    <w:name w:val="Footer Char"/>
    <w:basedOn w:val="DefaultParagraphFont"/>
    <w:link w:val="Footer"/>
    <w:uiPriority w:val="99"/>
    <w:rsid w:val="00AB376D"/>
  </w:style>
  <w:style w:type="paragraph" w:styleId="TOC2">
    <w:name w:val="toc 2"/>
    <w:basedOn w:val="Normal"/>
    <w:next w:val="Normal"/>
    <w:uiPriority w:val="39"/>
    <w:rsid w:val="00C12955"/>
    <w:pPr>
      <w:ind w:right="567"/>
    </w:pPr>
  </w:style>
  <w:style w:type="character" w:customStyle="1" w:styleId="Heading1Char">
    <w:name w:val="Heading 1 Char"/>
    <w:basedOn w:val="DefaultParagraphFont"/>
    <w:link w:val="Heading1"/>
    <w:uiPriority w:val="9"/>
    <w:rsid w:val="00C12955"/>
    <w:rPr>
      <w:rFonts w:asciiTheme="majorHAnsi" w:eastAsiaTheme="majorEastAsia" w:hAnsiTheme="majorHAnsi" w:cstheme="majorBidi"/>
      <w:color w:val="2E74B5" w:themeColor="accent1" w:themeShade="BF"/>
      <w:sz w:val="32"/>
      <w:szCs w:val="32"/>
      <w:lang w:val="da-DK"/>
    </w:rPr>
  </w:style>
  <w:style w:type="paragraph" w:styleId="TOCHeading">
    <w:name w:val="TOC Heading"/>
    <w:basedOn w:val="Normal"/>
    <w:next w:val="Normal"/>
    <w:uiPriority w:val="39"/>
    <w:qFormat/>
    <w:rsid w:val="00C12955"/>
    <w:pPr>
      <w:spacing w:after="520" w:line="360" w:lineRule="atLeast"/>
    </w:pPr>
    <w:rPr>
      <w:sz w:val="28"/>
    </w:rPr>
  </w:style>
  <w:style w:type="character" w:styleId="Hyperlink">
    <w:name w:val="Hyperlink"/>
    <w:basedOn w:val="DefaultParagraphFont"/>
    <w:uiPriority w:val="99"/>
    <w:unhideWhenUsed/>
    <w:rsid w:val="00C12955"/>
    <w:rPr>
      <w:color w:val="0563C1" w:themeColor="hyperlink"/>
      <w:u w:val="single"/>
    </w:rPr>
  </w:style>
  <w:style w:type="character" w:customStyle="1" w:styleId="Heading2Char">
    <w:name w:val="Heading 2 Char"/>
    <w:basedOn w:val="DefaultParagraphFont"/>
    <w:link w:val="Heading2"/>
    <w:uiPriority w:val="9"/>
    <w:rsid w:val="00E31E3D"/>
    <w:rPr>
      <w:rFonts w:ascii="Arial" w:eastAsiaTheme="majorEastAsia" w:hAnsi="Arial" w:cstheme="majorBidi"/>
      <w:b/>
      <w:sz w:val="20"/>
      <w:szCs w:val="26"/>
      <w:lang w:val="da-DK"/>
    </w:rPr>
  </w:style>
  <w:style w:type="character" w:styleId="Emphasis">
    <w:name w:val="Emphasis"/>
    <w:basedOn w:val="DefaultParagraphFont"/>
    <w:uiPriority w:val="20"/>
    <w:qFormat/>
    <w:rsid w:val="00D9291A"/>
    <w:rPr>
      <w:i/>
      <w:iCs/>
    </w:rPr>
  </w:style>
  <w:style w:type="paragraph" w:customStyle="1" w:styleId="xmsonormal">
    <w:name w:val="x_msonormal"/>
    <w:basedOn w:val="Normal"/>
    <w:rsid w:val="00CF76DD"/>
    <w:pPr>
      <w:spacing w:line="240" w:lineRule="auto"/>
    </w:pPr>
    <w:rPr>
      <w:rFonts w:ascii="Aptos" w:hAnsi="Aptos" w:cs="Aptos"/>
      <w:sz w:val="22"/>
      <w:szCs w:val="22"/>
      <w:lang w:eastAsia="da-DK"/>
    </w:rPr>
  </w:style>
  <w:style w:type="paragraph" w:styleId="Caption">
    <w:name w:val="caption"/>
    <w:basedOn w:val="Normal"/>
    <w:next w:val="Normal"/>
    <w:uiPriority w:val="35"/>
    <w:unhideWhenUsed/>
    <w:qFormat/>
    <w:rsid w:val="00B54A76"/>
    <w:pPr>
      <w:spacing w:after="200" w:line="240" w:lineRule="auto"/>
    </w:pPr>
    <w:rPr>
      <w:i/>
      <w:iCs/>
      <w:color w:val="44546A" w:themeColor="text2"/>
      <w:sz w:val="18"/>
      <w:szCs w:val="18"/>
    </w:rPr>
  </w:style>
  <w:style w:type="paragraph" w:styleId="ListParagraph">
    <w:name w:val="List Paragraph"/>
    <w:basedOn w:val="Normal"/>
    <w:uiPriority w:val="34"/>
    <w:qFormat/>
    <w:rsid w:val="00872586"/>
    <w:pPr>
      <w:ind w:left="720"/>
      <w:contextualSpacing/>
    </w:pPr>
  </w:style>
  <w:style w:type="paragraph" w:styleId="Revision">
    <w:name w:val="Revision"/>
    <w:hidden/>
    <w:uiPriority w:val="99"/>
    <w:semiHidden/>
    <w:rsid w:val="00FB5779"/>
    <w:pPr>
      <w:spacing w:after="0" w:line="240" w:lineRule="auto"/>
    </w:pPr>
    <w:rPr>
      <w:rFonts w:ascii="Arial" w:hAnsi="Arial" w:cs="Verdana"/>
      <w:sz w:val="20"/>
      <w:szCs w:val="20"/>
      <w:lang w:val="da-DK"/>
    </w:rPr>
  </w:style>
  <w:style w:type="character" w:styleId="CommentReference">
    <w:name w:val="annotation reference"/>
    <w:basedOn w:val="DefaultParagraphFont"/>
    <w:uiPriority w:val="99"/>
    <w:semiHidden/>
    <w:unhideWhenUsed/>
    <w:rsid w:val="00397623"/>
    <w:rPr>
      <w:sz w:val="16"/>
      <w:szCs w:val="16"/>
    </w:rPr>
  </w:style>
  <w:style w:type="paragraph" w:styleId="CommentText">
    <w:name w:val="annotation text"/>
    <w:basedOn w:val="Normal"/>
    <w:link w:val="CommentTextChar"/>
    <w:uiPriority w:val="99"/>
    <w:unhideWhenUsed/>
    <w:rsid w:val="00397623"/>
    <w:pPr>
      <w:spacing w:line="240" w:lineRule="auto"/>
    </w:pPr>
  </w:style>
  <w:style w:type="character" w:customStyle="1" w:styleId="CommentTextChar">
    <w:name w:val="Comment Text Char"/>
    <w:basedOn w:val="DefaultParagraphFont"/>
    <w:link w:val="CommentText"/>
    <w:uiPriority w:val="99"/>
    <w:rsid w:val="00397623"/>
    <w:rPr>
      <w:rFonts w:ascii="Arial" w:hAnsi="Arial" w:cs="Verdana"/>
      <w:sz w:val="20"/>
      <w:szCs w:val="20"/>
      <w:lang w:val="da-DK"/>
    </w:rPr>
  </w:style>
  <w:style w:type="paragraph" w:styleId="CommentSubject">
    <w:name w:val="annotation subject"/>
    <w:basedOn w:val="CommentText"/>
    <w:next w:val="CommentText"/>
    <w:link w:val="CommentSubjectChar"/>
    <w:uiPriority w:val="99"/>
    <w:semiHidden/>
    <w:unhideWhenUsed/>
    <w:rsid w:val="00397623"/>
    <w:rPr>
      <w:b/>
      <w:bCs/>
    </w:rPr>
  </w:style>
  <w:style w:type="character" w:customStyle="1" w:styleId="CommentSubjectChar">
    <w:name w:val="Comment Subject Char"/>
    <w:basedOn w:val="CommentTextChar"/>
    <w:link w:val="CommentSubject"/>
    <w:uiPriority w:val="99"/>
    <w:semiHidden/>
    <w:rsid w:val="00397623"/>
    <w:rPr>
      <w:rFonts w:ascii="Arial" w:hAnsi="Arial" w:cs="Verdana"/>
      <w:b/>
      <w:bCs/>
      <w:sz w:val="20"/>
      <w:szCs w:val="20"/>
      <w:lang w:val="da-DK"/>
    </w:rPr>
  </w:style>
  <w:style w:type="paragraph" w:styleId="BalloonText">
    <w:name w:val="Balloon Text"/>
    <w:basedOn w:val="Normal"/>
    <w:link w:val="BalloonTextChar"/>
    <w:uiPriority w:val="99"/>
    <w:semiHidden/>
    <w:unhideWhenUsed/>
    <w:rsid w:val="00D8103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03D"/>
    <w:rPr>
      <w:rFonts w:ascii="Segoe UI" w:hAnsi="Segoe UI" w:cs="Segoe UI"/>
      <w:sz w:val="18"/>
      <w:szCs w:val="18"/>
      <w:lang w:val="da-DK"/>
    </w:rPr>
  </w:style>
  <w:style w:type="paragraph" w:styleId="FootnoteText">
    <w:name w:val="footnote text"/>
    <w:basedOn w:val="Normal"/>
    <w:link w:val="FootnoteTextChar"/>
    <w:uiPriority w:val="99"/>
    <w:semiHidden/>
    <w:unhideWhenUsed/>
    <w:rsid w:val="00B055C0"/>
    <w:pPr>
      <w:spacing w:line="240" w:lineRule="auto"/>
    </w:pPr>
    <w:rPr>
      <w:rFonts w:ascii="Times New Roman" w:eastAsia="Times New Roman" w:hAnsi="Times New Roman" w:cs="Times New Roman"/>
      <w:lang w:eastAsia="da-DK"/>
    </w:rPr>
  </w:style>
  <w:style w:type="character" w:customStyle="1" w:styleId="FootnoteTextChar">
    <w:name w:val="Footnote Text Char"/>
    <w:basedOn w:val="DefaultParagraphFont"/>
    <w:link w:val="FootnoteText"/>
    <w:uiPriority w:val="99"/>
    <w:semiHidden/>
    <w:rsid w:val="00B055C0"/>
    <w:rPr>
      <w:rFonts w:ascii="Times New Roman" w:eastAsia="Times New Roman" w:hAnsi="Times New Roman" w:cs="Times New Roman"/>
      <w:sz w:val="20"/>
      <w:szCs w:val="20"/>
      <w:lang w:val="da-DK" w:eastAsia="da-DK"/>
    </w:rPr>
  </w:style>
  <w:style w:type="character" w:styleId="FootnoteReference">
    <w:name w:val="footnote reference"/>
    <w:basedOn w:val="DefaultParagraphFont"/>
    <w:uiPriority w:val="99"/>
    <w:semiHidden/>
    <w:unhideWhenUsed/>
    <w:rsid w:val="00B055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43846">
      <w:bodyDiv w:val="1"/>
      <w:marLeft w:val="0"/>
      <w:marRight w:val="0"/>
      <w:marTop w:val="0"/>
      <w:marBottom w:val="0"/>
      <w:divBdr>
        <w:top w:val="none" w:sz="0" w:space="0" w:color="auto"/>
        <w:left w:val="none" w:sz="0" w:space="0" w:color="auto"/>
        <w:bottom w:val="none" w:sz="0" w:space="0" w:color="auto"/>
        <w:right w:val="none" w:sz="0" w:space="0" w:color="auto"/>
      </w:divBdr>
    </w:div>
    <w:div w:id="219293054">
      <w:bodyDiv w:val="1"/>
      <w:marLeft w:val="0"/>
      <w:marRight w:val="0"/>
      <w:marTop w:val="0"/>
      <w:marBottom w:val="0"/>
      <w:divBdr>
        <w:top w:val="none" w:sz="0" w:space="0" w:color="auto"/>
        <w:left w:val="none" w:sz="0" w:space="0" w:color="auto"/>
        <w:bottom w:val="none" w:sz="0" w:space="0" w:color="auto"/>
        <w:right w:val="none" w:sz="0" w:space="0" w:color="auto"/>
      </w:divBdr>
    </w:div>
    <w:div w:id="1073042276">
      <w:bodyDiv w:val="1"/>
      <w:marLeft w:val="0"/>
      <w:marRight w:val="0"/>
      <w:marTop w:val="0"/>
      <w:marBottom w:val="0"/>
      <w:divBdr>
        <w:top w:val="none" w:sz="0" w:space="0" w:color="auto"/>
        <w:left w:val="none" w:sz="0" w:space="0" w:color="auto"/>
        <w:bottom w:val="none" w:sz="0" w:space="0" w:color="auto"/>
        <w:right w:val="none" w:sz="0" w:space="0" w:color="auto"/>
      </w:divBdr>
    </w:div>
    <w:div w:id="1156150299">
      <w:bodyDiv w:val="1"/>
      <w:marLeft w:val="0"/>
      <w:marRight w:val="0"/>
      <w:marTop w:val="0"/>
      <w:marBottom w:val="0"/>
      <w:divBdr>
        <w:top w:val="none" w:sz="0" w:space="0" w:color="auto"/>
        <w:left w:val="none" w:sz="0" w:space="0" w:color="auto"/>
        <w:bottom w:val="none" w:sz="0" w:space="0" w:color="auto"/>
        <w:right w:val="none" w:sz="0" w:space="0" w:color="auto"/>
      </w:divBdr>
    </w:div>
    <w:div w:id="1493255536">
      <w:bodyDiv w:val="1"/>
      <w:marLeft w:val="0"/>
      <w:marRight w:val="0"/>
      <w:marTop w:val="0"/>
      <w:marBottom w:val="0"/>
      <w:divBdr>
        <w:top w:val="none" w:sz="0" w:space="0" w:color="auto"/>
        <w:left w:val="none" w:sz="0" w:space="0" w:color="auto"/>
        <w:bottom w:val="none" w:sz="0" w:space="0" w:color="auto"/>
        <w:right w:val="none" w:sz="0" w:space="0" w:color="auto"/>
      </w:divBdr>
    </w:div>
    <w:div w:id="1683778641">
      <w:bodyDiv w:val="1"/>
      <w:marLeft w:val="0"/>
      <w:marRight w:val="0"/>
      <w:marTop w:val="0"/>
      <w:marBottom w:val="0"/>
      <w:divBdr>
        <w:top w:val="none" w:sz="0" w:space="0" w:color="auto"/>
        <w:left w:val="none" w:sz="0" w:space="0" w:color="auto"/>
        <w:bottom w:val="none" w:sz="0" w:space="0" w:color="auto"/>
        <w:right w:val="none" w:sz="0" w:space="0" w:color="auto"/>
      </w:divBdr>
    </w:div>
    <w:div w:id="1895460576">
      <w:bodyDiv w:val="1"/>
      <w:marLeft w:val="0"/>
      <w:marRight w:val="0"/>
      <w:marTop w:val="0"/>
      <w:marBottom w:val="0"/>
      <w:divBdr>
        <w:top w:val="none" w:sz="0" w:space="0" w:color="auto"/>
        <w:left w:val="none" w:sz="0" w:space="0" w:color="auto"/>
        <w:bottom w:val="none" w:sz="0" w:space="0" w:color="auto"/>
        <w:right w:val="none" w:sz="0" w:space="0" w:color="auto"/>
      </w:divBdr>
    </w:div>
    <w:div w:id="207862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https://dtudk.sharepoint.com/sites/templates/Office%20Templates/Danske%20skabeloner/Dokument_uden_footer-D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DA1FD2B40FDA458284BB6FCA763489" ma:contentTypeVersion="5" ma:contentTypeDescription="Create a new document." ma:contentTypeScope="" ma:versionID="72b2569ebc96083092f6d8e76413cd52">
  <xsd:schema xmlns:xsd="http://www.w3.org/2001/XMLSchema" xmlns:xs="http://www.w3.org/2001/XMLSchema" xmlns:p="http://schemas.microsoft.com/office/2006/metadata/properties" xmlns:ns2="683dcda1-f8c3-442f-ae64-e236c052732d" xmlns:ns3="715bde23-c48d-41ea-a697-dffaa8fbae8d" targetNamespace="http://schemas.microsoft.com/office/2006/metadata/properties" ma:root="true" ma:fieldsID="df14c340b530a7b5c38005fefa6a5693" ns2:_="" ns3:_="">
    <xsd:import namespace="683dcda1-f8c3-442f-ae64-e236c052732d"/>
    <xsd:import namespace="715bde23-c48d-41ea-a697-dffaa8fbae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dcda1-f8c3-442f-ae64-e236c0527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bde23-c48d-41ea-a697-dffaa8fbae8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E30EA8-3089-447E-A58A-CF594DD80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dcda1-f8c3-442f-ae64-e236c052732d"/>
    <ds:schemaRef ds:uri="715bde23-c48d-41ea-a697-dffaa8fba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ADF34-835A-4D9C-A1E9-B7A0AD4AEF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07E331-243C-496D-8E7A-4A110B34D2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Dokument_uden_footer-DK</Template>
  <TotalTime>9</TotalTime>
  <Pages>6</Pages>
  <Words>1928</Words>
  <Characters>11766</Characters>
  <Application>Microsoft Office Word</Application>
  <DocSecurity>0</DocSecurity>
  <Lines>98</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DTU</Company>
  <LinksUpToDate>false</LinksUpToDate>
  <CharactersWithSpaces>13667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Staugaard Bøye</dc:creator>
  <cp:keywords/>
  <dc:description/>
  <cp:lastModifiedBy>Kasper Dam Schultz</cp:lastModifiedBy>
  <cp:revision>7</cp:revision>
  <cp:lastPrinted>2024-06-06T12:06:00Z</cp:lastPrinted>
  <dcterms:created xsi:type="dcterms:W3CDTF">2025-05-15T06:27:00Z</dcterms:created>
  <dcterms:modified xsi:type="dcterms:W3CDTF">2025-05-30T08:38:00Z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0x0101009ADA1FD2B40FDA458284BB6FCA763489</vt:lpwstr>
  </property>
  <property fmtid="{D5CDD505-2E9C-101B-9397-08002B2CF9AE}" pid="3" name="TemplafyTimeStamp">
    <vt:lpwstr>2019-11-06T13:07:21.0812295</vt:lpwstr>
  </property>
  <property fmtid="{D5CDD505-2E9C-101B-9397-08002B2CF9AE}" pid="4" name="GrammarlyDocumentId">
    <vt:lpwstr>63cf2cd980ffcb7f6086612d79f092ab3df9239125fd131ef9cafd4dc806ed2d</vt:lpwstr>
  </property>
</Properties>
</file>